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6.3. Анализ эффекта финансового рычага</w:t>
      </w:r>
      <w:r>
        <w:t xml:space="preserve">.</w:t>
      </w:r>
    </w:p>
    <w:p>
      <w:pPr>
        <w:pStyle w:val="pStyle"/>
      </w:pPr>
      <w:r>
        <w:t xml:space="preserve">Целью анализа эффекта финансового рычага (ЭФР) является оценка эффективности использования собственных и заемных средств.</w:t>
      </w:r>
    </w:p>
    <w:p>
      <w:pPr>
        <w:pStyle w:val="pStyle"/>
      </w:pPr>
      <w:r>
        <w:t xml:space="preserve">ЭФР = (ROA - Цзк)(1-Н)•ЗК/СК</w:t>
      </w:r>
    </w:p>
    <w:p>
      <w:pPr>
        <w:pStyle w:val="pStyle"/>
      </w:pPr>
      <w:r>
        <w:t xml:space="preserve">где СК – среднегодовая сумма собственного капитала, ЗК - среднегодовая сумма заемного капитала, ROA - экономическая рентабельность, Цзк - средняя ставка процента, Н - коэффициент налогообложения (налоговая нагрузка).</w:t>
      </w:r>
    </w:p>
    <w:p>
      <w:pPr>
        <w:pStyle w:val="pStyle"/>
      </w:pPr>
      <w:r>
        <w:t xml:space="preserve">Экономическая рентабельность, ROA</w:t>
      </w:r>
    </w:p>
    <w:p>
      <w:pPr>
        <w:pStyle w:val="pStyle"/>
      </w:pPr>
      <w:r>
        <w:t xml:space="preserve">ROA</w:t>
      </w:r>
      <w:r>
        <w:rPr>
          <w:vertAlign w:val="subscript"/>
        </w:rPr>
        <w:t>эк</w:t>
      </w:r>
      <w:r>
        <w:t xml:space="preserve">=Чистая прибыль/Активы</w:t>
      </w:r>
    </w:p>
    <w:p>
      <w:pPr>
        <w:pStyle w:val="pStyle"/>
      </w:pPr>
      <w:r>
        <w:t xml:space="preserve">ROA</w:t>
      </w:r>
      <w:r>
        <w:rPr>
          <w:vertAlign w:val="subscript"/>
        </w:rPr>
        <w:t>эк</w:t>
      </w:r>
      <w:r>
        <w:t xml:space="preserve">(План)=120/807=14.87%</w:t>
      </w:r>
    </w:p>
    <w:p>
      <w:pPr>
        <w:pStyle w:val="pStyle"/>
      </w:pPr>
      <w:r>
        <w:t xml:space="preserve">ROA</w:t>
      </w:r>
      <w:r>
        <w:rPr>
          <w:vertAlign w:val="subscript"/>
        </w:rPr>
        <w:t>эк</w:t>
      </w:r>
      <w:r>
        <w:t xml:space="preserve">(Факт)=145/857=16.92%</w:t>
      </w:r>
    </w:p>
    <w:p>
      <w:pPr>
        <w:pStyle w:val="pStyle"/>
      </w:pPr>
      <w:r>
        <w:t xml:space="preserve">Таблица 9.1 – Анализ эффекта финансового рычага.</w:t>
      </w:r>
    </w:p>
    <w:tbl>
      <w:tblPr>
        <w:tblStyle w:val="myOwnTableStyle"/>
        <w:jc w:val="center"/>
      </w:tblPr>
      <w:tr>
        <w:tc>
          <w:tcPr>
            <w:tcW w:w="3000" w:type="dxa"/>
          </w:tcPr>
          <w:p>
            <w:r>
              <w:t xml:space="preserve">Показатели</w:t>
            </w:r>
          </w:p>
        </w:tc>
        <w:tc>
          <w:tcPr>
            <w:tcW w:w="700" w:type="dxa"/>
          </w:tcPr>
          <w:p>
            <w:r>
              <w:t xml:space="preserve">План</w:t>
            </w:r>
          </w:p>
        </w:tc>
        <w:tc>
          <w:tcPr>
            <w:tcW w:w="700" w:type="dxa"/>
          </w:tcPr>
          <w:p>
            <w:r>
              <w:t xml:space="preserve">Факт</w:t>
            </w:r>
          </w:p>
        </w:tc>
        <w:tc>
          <w:tcPr>
            <w:tcW w:w="700" w:type="dxa"/>
          </w:tcPr>
          <w:p>
            <w:r>
              <w:t xml:space="preserve">Изменения</w:t>
            </w:r>
          </w:p>
        </w:tc>
        <w:tc>
          <w:tcPr>
            <w:tcW w:w="700" w:type="dxa"/>
          </w:tcPr>
          <w:p>
            <w:r>
              <w:t xml:space="preserve">Темпы роста</w:t>
            </w:r>
          </w:p>
        </w:tc>
      </w:tr>
      <w:tr>
        <w:tc>
          <w:tcPr>
            <w:tcW w:w="3000" w:type="dxa"/>
          </w:tcPr>
          <w:p>
            <w:r>
              <w:t xml:space="preserve">1. Активы, A</w:t>
            </w:r>
          </w:p>
        </w:tc>
        <w:tc>
          <w:tcPr>
            <w:tcW w:w="700" w:type="dxa"/>
          </w:tcPr>
          <w:p>
            <w:r>
              <w:t xml:space="preserve">807</w:t>
            </w:r>
          </w:p>
        </w:tc>
        <w:tc>
          <w:tcPr>
            <w:tcW w:w="700" w:type="dxa"/>
          </w:tcPr>
          <w:p>
            <w:r>
              <w:t xml:space="preserve">857</w:t>
            </w:r>
          </w:p>
        </w:tc>
        <w:tc>
          <w:tcPr>
            <w:tcW w:w="700" w:type="dxa"/>
          </w:tcPr>
          <w:p>
            <w:r>
              <w:t xml:space="preserve">50</w:t>
            </w:r>
          </w:p>
        </w:tc>
        <w:tc>
          <w:tcPr>
            <w:tcW w:w="700" w:type="dxa"/>
          </w:tcPr>
          <w:p>
            <w:r>
              <w:t xml:space="preserve">106.2</w:t>
            </w:r>
          </w:p>
        </w:tc>
      </w:tr>
      <w:tr>
        <w:tc>
          <w:tcPr>
            <w:tcW w:w="3000" w:type="dxa"/>
          </w:tcPr>
          <w:p>
            <w:r>
              <w:t xml:space="preserve">2. Балансовая прибыль, БП</w:t>
            </w:r>
          </w:p>
        </w:tc>
        <w:tc>
          <w:tcPr>
            <w:tcW w:w="700" w:type="dxa"/>
          </w:tcPr>
          <w:p>
            <w:r>
              <w:t xml:space="preserve">120</w:t>
            </w:r>
          </w:p>
        </w:tc>
        <w:tc>
          <w:tcPr>
            <w:tcW w:w="700" w:type="dxa"/>
          </w:tcPr>
          <w:p>
            <w:r>
              <w:t xml:space="preserve">145</w:t>
            </w:r>
          </w:p>
        </w:tc>
        <w:tc>
          <w:tcPr>
            <w:tcW w:w="700" w:type="dxa"/>
          </w:tcPr>
          <w:p>
            <w:r>
              <w:t xml:space="preserve">25</w:t>
            </w:r>
          </w:p>
        </w:tc>
        <w:tc>
          <w:tcPr>
            <w:tcW w:w="700" w:type="dxa"/>
          </w:tcPr>
          <w:p>
            <w:r>
              <w:t xml:space="preserve">120.83</w:t>
            </w:r>
          </w:p>
        </w:tc>
      </w:tr>
      <w:tr>
        <w:tc>
          <w:tcPr>
            <w:tcW w:w="3000" w:type="dxa"/>
          </w:tcPr>
          <w:p>
            <w:r>
              <w:t xml:space="preserve">3. Экономическая рентабельность, ROA (п.2/п.1)</w:t>
            </w:r>
          </w:p>
        </w:tc>
        <w:tc>
          <w:tcPr>
            <w:tcW w:w="700" w:type="dxa"/>
          </w:tcPr>
          <w:p>
            <w:r>
              <w:t xml:space="preserve">14.87</w:t>
            </w:r>
          </w:p>
        </w:tc>
        <w:tc>
          <w:tcPr>
            <w:tcW w:w="700" w:type="dxa"/>
          </w:tcPr>
          <w:p>
            <w:r>
              <w:t xml:space="preserve">16.92</w:t>
            </w:r>
          </w:p>
        </w:tc>
        <w:tc>
          <w:tcPr>
            <w:tcW w:w="700" w:type="dxa"/>
          </w:tcPr>
          <w:p>
            <w:r>
              <w:t xml:space="preserve">2.05</w:t>
            </w:r>
          </w:p>
        </w:tc>
        <w:tc>
          <w:tcPr>
            <w:tcW w:w="700" w:type="dxa"/>
          </w:tcPr>
          <w:p>
            <w:r>
              <w:t xml:space="preserve">113.79</w:t>
            </w:r>
          </w:p>
        </w:tc>
      </w:tr>
      <w:tr>
        <w:tc>
          <w:tcPr>
            <w:tcW w:w="3000" w:type="dxa"/>
          </w:tcPr>
          <w:p>
            <w:r>
              <w:t xml:space="preserve">4. Собственный капитал,  тыс.руб.</w:t>
            </w:r>
          </w:p>
        </w:tc>
        <w:tc>
          <w:tcPr>
            <w:tcW w:w="700" w:type="dxa"/>
          </w:tcPr>
          <w:p>
            <w:r>
              <w:t xml:space="preserve">607</w:t>
            </w:r>
          </w:p>
        </w:tc>
        <w:tc>
          <w:tcPr>
            <w:tcW w:w="700" w:type="dxa"/>
          </w:tcPr>
          <w:p>
            <w:r>
              <w:t xml:space="preserve">607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100</w:t>
            </w:r>
          </w:p>
        </w:tc>
      </w:tr>
      <w:tr>
        <w:tc>
          <w:tcPr>
            <w:tcW w:w="3000" w:type="dxa"/>
          </w:tcPr>
          <w:p>
            <w:r>
              <w:t xml:space="preserve">5. Заемный капитал,  тыс.руб.</w:t>
            </w:r>
          </w:p>
        </w:tc>
        <w:tc>
          <w:tcPr>
            <w:tcW w:w="700" w:type="dxa"/>
          </w:tcPr>
          <w:p>
            <w:r>
              <w:t xml:space="preserve">200</w:t>
            </w:r>
          </w:p>
        </w:tc>
        <w:tc>
          <w:tcPr>
            <w:tcW w:w="700" w:type="dxa"/>
          </w:tcPr>
          <w:p>
            <w:r>
              <w:t xml:space="preserve">250</w:t>
            </w:r>
          </w:p>
        </w:tc>
        <w:tc>
          <w:tcPr>
            <w:tcW w:w="700" w:type="dxa"/>
          </w:tcPr>
          <w:p>
            <w:r>
              <w:t xml:space="preserve">50</w:t>
            </w:r>
          </w:p>
        </w:tc>
        <w:tc>
          <w:tcPr>
            <w:tcW w:w="700" w:type="dxa"/>
          </w:tcPr>
          <w:p>
            <w:r>
              <w:t xml:space="preserve">125</w:t>
            </w:r>
          </w:p>
        </w:tc>
      </w:tr>
      <w:tr>
        <w:tc>
          <w:tcPr>
            <w:tcW w:w="3000" w:type="dxa"/>
          </w:tcPr>
          <w:p>
            <w:r>
              <w:t xml:space="preserve">6. Ставка налога на прибыль (Уровень налогообложения), %</w:t>
            </w:r>
          </w:p>
        </w:tc>
        <w:tc>
          <w:tcPr>
            <w:tcW w:w="700" w:type="dxa"/>
          </w:tcPr>
          <w:p>
            <w:r>
              <w:t xml:space="preserve">20</w:t>
            </w:r>
          </w:p>
        </w:tc>
        <w:tc>
          <w:tcPr>
            <w:tcW w:w="700" w:type="dxa"/>
          </w:tcPr>
          <w:p>
            <w:r>
              <w:t xml:space="preserve">20</w:t>
            </w:r>
          </w:p>
        </w:tc>
        <w:tc>
          <w:tcPr>
            <w:tcW w:w="700" w:type="dxa"/>
          </w:tcPr>
          <w:p>
            <w:r>
              <w:t xml:space="preserve">0</w:t>
            </w:r>
          </w:p>
        </w:tc>
        <w:tc>
          <w:tcPr>
            <w:tcW w:w="700" w:type="dxa"/>
          </w:tcPr>
          <w:p>
            <w:r>
              <w:t xml:space="preserve">100</w:t>
            </w:r>
          </w:p>
        </w:tc>
      </w:tr>
      <w:tr>
        <w:tc>
          <w:tcPr>
            <w:tcW w:w="3000" w:type="dxa"/>
          </w:tcPr>
          <w:p>
            <w:r>
              <w:t xml:space="preserve">7. Ставка процента за кредит, %</w:t>
            </w:r>
          </w:p>
        </w:tc>
        <w:tc>
          <w:tcPr>
            <w:tcW w:w="700" w:type="dxa"/>
          </w:tcPr>
          <w:p>
            <w:r>
              <w:t xml:space="preserve">12</w:t>
            </w:r>
          </w:p>
        </w:tc>
        <w:tc>
          <w:tcPr>
            <w:tcW w:w="700" w:type="dxa"/>
          </w:tcPr>
          <w:p>
            <w:r>
              <w:t xml:space="preserve">21</w:t>
            </w:r>
          </w:p>
        </w:tc>
        <w:tc>
          <w:tcPr>
            <w:tcW w:w="700" w:type="dxa"/>
          </w:tcPr>
          <w:p>
            <w:r>
              <w:t xml:space="preserve">9</w:t>
            </w:r>
          </w:p>
        </w:tc>
        <w:tc>
          <w:tcPr>
            <w:tcW w:w="700" w:type="dxa"/>
          </w:tcPr>
          <w:p>
            <w:r>
              <w:t xml:space="preserve">175</w:t>
            </w:r>
          </w:p>
        </w:tc>
      </w:tr>
      <w:tr>
        <w:tc>
          <w:tcPr>
            <w:tcW w:w="3000" w:type="dxa"/>
          </w:tcPr>
          <w:p>
            <w:r>
              <w:t xml:space="preserve">8. Уровень инфляции, %</w:t>
            </w:r>
          </w:p>
        </w:tc>
        <w:tc>
          <w:tcPr>
            <w:tcW w:w="700" w:type="dxa"/>
          </w:tcPr>
          <w:p>
            <w:r>
              <w:t xml:space="preserve">17</w:t>
            </w:r>
          </w:p>
        </w:tc>
        <w:tc>
          <w:tcPr>
            <w:tcW w:w="700" w:type="dxa"/>
          </w:tcPr>
          <w:p>
            <w:r>
              <w:t xml:space="preserve">24</w:t>
            </w:r>
          </w:p>
        </w:tc>
        <w:tc>
          <w:tcPr>
            <w:tcW w:w="700" w:type="dxa"/>
          </w:tcPr>
          <w:p>
            <w:r>
              <w:t xml:space="preserve">7</w:t>
            </w:r>
          </w:p>
        </w:tc>
        <w:tc>
          <w:tcPr>
            <w:tcW w:w="700" w:type="dxa"/>
          </w:tcPr>
          <w:p>
            <w:r>
              <w:t xml:space="preserve">141.18</w:t>
            </w:r>
          </w:p>
        </w:tc>
      </w:tr>
      <w:tr>
        <w:tc>
          <w:tcPr>
            <w:tcW w:w="3000" w:type="dxa"/>
          </w:tcPr>
          <w:p>
            <w:r>
              <w:t xml:space="preserve">Эффект финансового рычага, % (п.3-п.7)(1-п.6)∙п.5/п.4</w:t>
            </w:r>
          </w:p>
        </w:tc>
        <w:tc>
          <w:tcPr>
            <w:tcW w:w="700" w:type="dxa"/>
          </w:tcPr>
          <w:p>
            <w:r>
              <w:t xml:space="preserve">0.76</w:t>
            </w:r>
          </w:p>
        </w:tc>
        <w:tc>
          <w:tcPr>
            <w:tcW w:w="700" w:type="dxa"/>
          </w:tcPr>
          <w:p>
            <w:r>
              <w:t xml:space="preserve">-1.34</w:t>
            </w:r>
          </w:p>
        </w:tc>
        <w:tc>
          <w:tcPr>
            <w:tcW w:w="700" w:type="dxa"/>
          </w:tcPr>
          <w:p>
            <w:r>
              <w:t xml:space="preserve">-2.1</w:t>
            </w:r>
          </w:p>
        </w:tc>
        <w:tc>
          <w:tcPr>
            <w:tcW w:w="700" w:type="dxa"/>
          </w:tcPr>
          <w:p>
            <w:r>
              <w:t xml:space="preserve">-176.32</w:t>
            </w:r>
          </w:p>
        </w:tc>
      </w:tr>
    </w:tbl>
    <w:p>
      <w:pPr>
        <w:pStyle w:val="pStyle"/>
      </w:pPr>
      <w:r>
        <w:t xml:space="preserve">ЭФР(План)=(14.87-12)∙(1-20/100)∙200/607=0.76%</w:t>
      </w:r>
    </w:p>
    <w:p>
      <w:pPr>
        <w:pStyle w:val="pStyle"/>
      </w:pPr>
      <w:r>
        <w:t xml:space="preserve">ЭФР(Факт)=(16.92-21)∙(1-20/100)∙250/607=-1.34%</w:t>
      </w:r>
    </w:p>
    <w:p>
      <w:pPr>
        <w:pStyle w:val="pStyle"/>
      </w:pPr>
      <w:r>
        <w:rPr>
          <w:i/>
          <w:iCs/>
        </w:rPr>
        <w:t>Сущность эффекта финансового рычага</w:t>
      </w:r>
      <w:r>
        <w:t xml:space="preserve">: эффект финансового рычага показывает приращение к рентабельности собственных средств полученное вследствие использования заемного капитала. В нашем случае оно составило -1.34%.</w:t>
      </w:r>
    </w:p>
    <w:p>
      <w:pPr>
        <w:pStyle w:val="pStyle"/>
      </w:pPr>
      <w:r>
        <w:t xml:space="preserve">Таким образом, привлечение заемных средств при данных условиях не выгодно.</w:t>
      </w:r>
    </w:p>
    <w:p>
      <w:pPr>
        <w:pStyle w:val="pStyle"/>
      </w:pPr>
      <w:r>
        <w:t xml:space="preserve">Чтобы определить, как изменился ЭФР за счет каждой составляющей, можно воспользоваться способом цепной подстановки:</w:t>
      </w:r>
    </w:p>
    <w:p>
      <w:pPr>
        <w:pStyle w:val="pStyle"/>
      </w:pPr>
      <w:r>
        <w:t xml:space="preserve">ЭФР</w:t>
      </w:r>
      <w:r>
        <w:rPr>
          <w:vertAlign w:val="subscript"/>
        </w:rPr>
        <w:t>усл1</w:t>
      </w:r>
      <w:r>
        <w:t xml:space="preserve">=(16.92-12)∙(1-20/100)∙200/607=1.3%</w:t>
      </w:r>
    </w:p>
    <w:p>
      <w:pPr>
        <w:pStyle w:val="pStyle"/>
      </w:pPr>
      <w:r>
        <w:t xml:space="preserve">ЭФР</w:t>
      </w:r>
      <w:r>
        <w:rPr>
          <w:vertAlign w:val="subscript"/>
        </w:rPr>
        <w:t>усл2</w:t>
      </w:r>
      <w:r>
        <w:t xml:space="preserve">=(16.92-21)∙(1-20/100)∙200/607=-1.08%</w:t>
      </w:r>
    </w:p>
    <w:p>
      <w:pPr>
        <w:pStyle w:val="pStyle"/>
      </w:pPr>
      <w:r>
        <w:t xml:space="preserve">ЭФР</w:t>
      </w:r>
      <w:r>
        <w:rPr>
          <w:vertAlign w:val="subscript"/>
        </w:rPr>
        <w:t>усл3</w:t>
      </w:r>
      <w:r>
        <w:t xml:space="preserve">=(16.92-21)∙(1-20/100)∙200/607=-1.08%</w:t>
      </w:r>
    </w:p>
    <w:p>
      <w:pPr>
        <w:pStyle w:val="pStyle"/>
      </w:pPr>
      <w:r>
        <w:t xml:space="preserve">Общее изменение ЭФР составляет -2.1% (-1.34 - 0.76), в том числе за счет:</w:t>
      </w:r>
    </w:p>
    <w:p>
      <w:pPr>
        <w:pStyle w:val="pStyle"/>
      </w:pPr>
      <w:r>
        <w:t xml:space="preserve">• уровня рентабельности инвестированного капитала: 1.3-0.76=0.54%</w:t>
      </w:r>
    </w:p>
    <w:p>
      <w:pPr>
        <w:pStyle w:val="pStyle"/>
      </w:pPr>
      <w:r>
        <w:t xml:space="preserve">• ставки ссудного процента: -1.08-1.3=-2.37%</w:t>
      </w:r>
    </w:p>
    <w:p>
      <w:pPr>
        <w:pStyle w:val="pStyle"/>
      </w:pPr>
      <w:r>
        <w:t xml:space="preserve">• уровня налогообложения: -1.08+1.08=0%</w:t>
      </w:r>
    </w:p>
    <w:p>
      <w:pPr>
        <w:pStyle w:val="pStyle"/>
      </w:pPr>
      <w:r>
        <w:t xml:space="preserve">• плеча финансового рычага: -1.34+1.08=-0.27%</w:t>
      </w:r>
    </w:p>
    <w:p>
      <w:pPr>
        <w:pStyle w:val="pStyle"/>
      </w:pPr>
      <w:r>
        <w:t xml:space="preserve">Общее изменение ЭФР за счет всех факторов: 0.54-2.37+0-0.27=-2.1%</w:t>
      </w:r>
    </w:p>
    <w:p>
      <w:pPr>
        <w:pStyle w:val="pStyle"/>
      </w:pPr>
      <w:r>
        <w:t xml:space="preserve">В условиях инфляции, если долги и проценты по ним не индексируются, ЭФР и рентабельность собственного капитала (ROЕ) увеличиваются, поскольку обслуживание долга и сам долг оплачиваются уже обесцененными деньгами.</w:t>
      </w:r>
    </w:p>
    <w:p>
      <w:pPr>
        <w:pStyle w:val="pStyle"/>
      </w:pPr>
      <w:r>
        <w:t xml:space="preserve">Тогда эффект финансового рычага будет равен:</w:t>
      </w:r>
    </w:p>
    <w:p>
      <w:pPr>
        <w:pStyle w:val="pStyle"/>
      </w:pPr>
      <w:r>
        <w:t xml:space="preserve">ЭФР=[ROA-Цзк/(1+И)]•(1-Кн)•ЗК/СК + И•ЗК/СК•100%</w:t>
      </w:r>
    </w:p>
    <w:p>
      <w:pPr>
        <w:pStyle w:val="pStyle"/>
      </w:pPr>
      <w:r>
        <w:t xml:space="preserve">ЭФР(План)=(14.87-12/(1+17/100))∙(1-20/100)∙200/607+17∙200/607=6.82%</w:t>
      </w:r>
    </w:p>
    <w:p>
      <w:pPr>
        <w:pStyle w:val="pStyle"/>
      </w:pPr>
      <w:r>
        <w:t xml:space="preserve">ЭФР(Факт)=(16.92-21/(1+24/100))∙(1-20/100)∙250/607+24∙250/607=9.88%</w:t>
      </w:r>
    </w:p>
    <w:p>
      <w:pPr>
        <w:pStyle w:val="pStyle"/>
      </w:pPr>
      <w:r>
        <w:t xml:space="preserve">Чтобы определить, как изменился ЭФР за счет каждой составляющей, можно воспользоваться способом цепной подстановки:</w:t>
      </w:r>
    </w:p>
    <w:p>
      <w:pPr>
        <w:pStyle w:val="pStyle"/>
      </w:pPr>
      <w:r>
        <w:t xml:space="preserve">ЭФР</w:t>
      </w:r>
      <w:r>
        <w:rPr>
          <w:vertAlign w:val="subscript"/>
        </w:rPr>
        <w:t>усл1</w:t>
      </w:r>
      <w:r>
        <w:t xml:space="preserve">=(16.92-12/(1+17/100))∙(1-20/100)∙200/607+17∙200/607=7.36%</w:t>
      </w:r>
    </w:p>
    <w:p>
      <w:pPr>
        <w:pStyle w:val="pStyle"/>
      </w:pPr>
      <w:r>
        <w:t xml:space="preserve">ЭФР</w:t>
      </w:r>
      <w:r>
        <w:rPr>
          <w:vertAlign w:val="subscript"/>
        </w:rPr>
        <w:t>усл2</w:t>
      </w:r>
      <w:r>
        <w:t xml:space="preserve">=(16.92-21/(1+17/100))∙(1-20/100)∙200/607+17∙200/607=5.33%</w:t>
      </w:r>
    </w:p>
    <w:p>
      <w:pPr>
        <w:pStyle w:val="pStyle"/>
      </w:pPr>
      <w:r>
        <w:t xml:space="preserve">ЭФР</w:t>
      </w:r>
      <w:r>
        <w:rPr>
          <w:vertAlign w:val="subscript"/>
        </w:rPr>
        <w:t>усл3</w:t>
      </w:r>
      <w:r>
        <w:t xml:space="preserve">=(16.92-21/(1+24/100))∙(1-20/100)∙200/607+24∙200/607=7.9%</w:t>
      </w:r>
    </w:p>
    <w:p>
      <w:pPr>
        <w:pStyle w:val="pStyle"/>
      </w:pPr>
      <w:r>
        <w:t xml:space="preserve">ЭФР</w:t>
      </w:r>
      <w:r>
        <w:rPr>
          <w:vertAlign w:val="subscript"/>
        </w:rPr>
        <w:t>усл4</w:t>
      </w:r>
      <w:r>
        <w:t xml:space="preserve">=(16.92-21/(1+24/100))∙(1-20/100)∙200/607+24∙200/607=7.9%</w:t>
      </w:r>
    </w:p>
    <w:p>
      <w:pPr>
        <w:pStyle w:val="pStyle"/>
      </w:pPr>
      <w:r>
        <w:t xml:space="preserve">Общее изменение ЭФР составляет 3.06% (9.88 - 6.82), в том числе за счет:</w:t>
      </w:r>
    </w:p>
    <w:p>
      <w:pPr>
        <w:pStyle w:val="pStyle"/>
      </w:pPr>
      <w:r>
        <w:t xml:space="preserve">• уровня рентабельности инвестированного капитала: 7.36-6.82=0.54%</w:t>
      </w:r>
    </w:p>
    <w:p>
      <w:pPr>
        <w:pStyle w:val="pStyle"/>
      </w:pPr>
      <w:r>
        <w:t xml:space="preserve">• ставки ссудного процента: 5.33-7.36=-2.03%</w:t>
      </w:r>
    </w:p>
    <w:p>
      <w:pPr>
        <w:pStyle w:val="pStyle"/>
      </w:pPr>
      <w:r>
        <w:t xml:space="preserve">• индекса инфляции: 7.9-5.33=2.57%</w:t>
      </w:r>
    </w:p>
    <w:p>
      <w:pPr>
        <w:pStyle w:val="pStyle"/>
      </w:pPr>
      <w:r>
        <w:t xml:space="preserve">• уровня налогообложения: 7.9-7.9=0%</w:t>
      </w:r>
    </w:p>
    <w:p>
      <w:pPr>
        <w:pStyle w:val="pStyle"/>
      </w:pPr>
      <w:r>
        <w:t xml:space="preserve">• плеча финансового рычага: 9.88-7.9=1.98%</w:t>
      </w:r>
    </w:p>
    <w:p>
      <w:pPr>
        <w:pStyle w:val="pStyle"/>
      </w:pPr>
      <w:r>
        <w:t xml:space="preserve">Общее изменение ЭФР за счет всех факторов: 0.54-2.03+2.57+0+1.98=3.06%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Эффект финансового рычага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Анализ фондоотдачи</w:t>
        </w:r>
      </w:hyperlink>
    </w:p>
    <w:p>
      <w:hyperlink r:id="rId9" w:history="1">
        <w:r>
          <w:rPr>
            <w:color w:val="0000FF"/>
            <w:u w:val="single"/>
          </w:rPr>
          <w:t xml:space="preserve">Анализ производительности труда</w:t>
        </w:r>
      </w:hyperlink>
    </w:p>
    <w:p>
      <w:hyperlink r:id="rId10" w:history="1">
        <w:r>
          <w:rPr>
            <w:color w:val="0000FF"/>
            <w:u w:val="single"/>
          </w:rPr>
          <w:t xml:space="preserve">Маржинальный анализ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afin/axd_lev.php" TargetMode="External"/>
  <Relationship Id="rId8" Type="http://schemas.openxmlformats.org/officeDocument/2006/relationships/hyperlink" Target="https://axd.semestr.ru/atex/productivity.php" TargetMode="External"/>
  <Relationship Id="rId9" Type="http://schemas.openxmlformats.org/officeDocument/2006/relationships/hyperlink" Target="https://axd.semestr.ru/apt/axd_pt.php" TargetMode="External"/>
  <Relationship Id="rId10" Type="http://schemas.openxmlformats.org/officeDocument/2006/relationships/hyperlink" Target="https://axd.semestr.ru/afin/marginal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2024-11-16T06:46:00+03:00</dcterms:created>
  <dcterms:modified xsi:type="dcterms:W3CDTF">2024-11-16T06:46:00+03:00</dcterms:modified>
  <dc:title>Анализ финансового рычага</dc:title>
  <dc:description>https://axd.semestr.ru/afin/axd_lev.php</dc:description>
  <dc:subject>Анализ финансового рычага</dc:subject>
  <cp:keywords>Финансовый леверидж,анализ Финансового левериджа,анализ Финансового рычага,эффект финансового рычага</cp:keywords>
  <cp:category>Анализ финансового рычага</cp:category>
</cp:coreProperties>
</file>