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OwnTableStyle"/>
        <w:jc w:val="center"/>
      </w:tblPr>
      <w:tr>
        <w:tc>
          <w:tcPr>
            <w:tcW w:w="9000" w:type="dxa"/>
          </w:tcPr>
          <w:p>
            <w:r>
              <w:t xml:space="preserve">Среднесписочная численность работников</w:t>
            </w:r>
          </w:p>
        </w:tc>
        <w:tc>
          <w:tcPr>
            <w:tcW w:w="900" w:type="dxa"/>
          </w:tcPr>
          <w:p>
            <w:r>
              <w:t xml:space="preserve">110</w:t>
            </w:r>
          </w:p>
        </w:tc>
      </w:tr>
      <w:tr>
        <w:tc>
          <w:tcPr>
            <w:tcW w:w="9000" w:type="dxa"/>
          </w:tcPr>
          <w:p>
            <w:r>
              <w:t xml:space="preserve">Принято:</w:t>
            </w:r>
          </w:p>
        </w:tc>
        <w:tc>
          <w:tcPr>
            <w:tcW w:w="900" w:type="dxa"/>
          </w:tcPr>
          <w:p>
            <w:r>
              <w:t xml:space="preserve">10</w:t>
            </w:r>
          </w:p>
        </w:tc>
      </w:tr>
      <w:tr>
        <w:tc>
          <w:tcPr>
            <w:tcW w:w="9000" w:type="dxa"/>
          </w:tcPr>
          <w:p>
            <w:r>
              <w:t xml:space="preserve">• по направлению служб занятости и трудоустройства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  <w:tr>
        <w:tc>
          <w:tcPr>
            <w:tcW w:w="9000" w:type="dxa"/>
          </w:tcPr>
          <w:p>
            <w:r>
              <w:t xml:space="preserve">• по инициативе самого предприятия</w:t>
            </w:r>
          </w:p>
        </w:tc>
        <w:tc>
          <w:tcPr>
            <w:tcW w:w="900" w:type="dxa"/>
          </w:tcPr>
          <w:p>
            <w:r>
              <w:t xml:space="preserve">10</w:t>
            </w:r>
          </w:p>
        </w:tc>
      </w:tr>
      <w:tr>
        <w:tc>
          <w:tcPr>
            <w:tcW w:w="9000" w:type="dxa"/>
          </w:tcPr>
          <w:p>
            <w:r>
              <w:t xml:space="preserve">• в порядке перевода из других предприятий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  <w:tr>
        <w:tc>
          <w:tcPr>
            <w:tcW w:w="9000" w:type="dxa"/>
          </w:tcPr>
          <w:p>
            <w:r>
              <w:t xml:space="preserve">• после окончания высших и средних специальных учебных заведений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  <w:tr>
        <w:tc>
          <w:tcPr>
            <w:tcW w:w="9000" w:type="dxa"/>
          </w:tcPr>
          <w:p>
            <w:r>
              <w:t xml:space="preserve">Выбыло:</w:t>
            </w:r>
          </w:p>
        </w:tc>
        <w:tc>
          <w:tcPr>
            <w:tcW w:w="900" w:type="dxa"/>
          </w:tcPr>
          <w:p>
            <w:r>
              <w:t xml:space="preserve">11</w:t>
            </w:r>
          </w:p>
        </w:tc>
      </w:tr>
      <w:tr>
        <w:tc>
          <w:tcPr>
            <w:tcW w:w="9000" w:type="dxa"/>
          </w:tcPr>
          <w:p>
            <w:r>
              <w:t xml:space="preserve">• призыв в армию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  <w:tr>
        <w:tc>
          <w:tcPr>
            <w:tcW w:w="9000" w:type="dxa"/>
          </w:tcPr>
          <w:p>
            <w:r>
              <w:t xml:space="preserve">• поступление в учебное заведение с отрывом от производства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  <w:tr>
        <w:tc>
          <w:tcPr>
            <w:tcW w:w="9000" w:type="dxa"/>
          </w:tcPr>
          <w:p>
            <w:r>
              <w:t xml:space="preserve">• окончание сроков договора найма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  <w:tr>
        <w:tc>
          <w:tcPr>
            <w:tcW w:w="9000" w:type="dxa"/>
          </w:tcPr>
          <w:p>
            <w:r>
              <w:t xml:space="preserve">• выход на пенсию (по достижению пенсионного возраста, инвалидности)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  <w:tr>
        <w:tc>
          <w:tcPr>
            <w:tcW w:w="9000" w:type="dxa"/>
          </w:tcPr>
          <w:p>
            <w:r>
              <w:t xml:space="preserve">• перевод на другие предприятия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  <w:tr>
        <w:tc>
          <w:tcPr>
            <w:tcW w:w="9000" w:type="dxa"/>
          </w:tcPr>
          <w:p>
            <w:r>
              <w:t xml:space="preserve">• смерть работника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  <w:tr>
        <w:tc>
          <w:tcPr>
            <w:tcW w:w="9000" w:type="dxa"/>
          </w:tcPr>
          <w:p>
            <w:r>
              <w:t xml:space="preserve">• сокращение штата</w:t>
            </w:r>
          </w:p>
        </w:tc>
        <w:tc>
          <w:tcPr>
            <w:tcW w:w="900" w:type="dxa"/>
          </w:tcPr>
          <w:p>
            <w:r>
              <w:t xml:space="preserve">11</w:t>
            </w:r>
          </w:p>
        </w:tc>
      </w:tr>
      <w:tr>
        <w:tc>
          <w:tcPr>
            <w:tcW w:w="9000" w:type="dxa"/>
          </w:tcPr>
          <w:p>
            <w:r>
              <w:t xml:space="preserve">• по собственному желанию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  <w:tr>
        <w:tc>
          <w:tcPr>
            <w:tcW w:w="9000" w:type="dxa"/>
          </w:tcPr>
          <w:p>
            <w:r>
              <w:t xml:space="preserve">• прогулы и другие нарушения трудовой дисциплины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1. Абсолютные показатели оборота работников.</w:t>
      </w:r>
    </w:p>
    <w:p>
      <w:pPr>
        <w:pStyle w:val="pStyle"/>
      </w:pPr>
      <w:r>
        <w:t xml:space="preserve">оборот по приему – численность лиц, зачисленных в рассматриваемом периоде соответствующим приказом по организации на работу;</w:t>
      </w:r>
    </w:p>
    <w:p>
      <w:pPr>
        <w:pStyle w:val="pStyle"/>
      </w:pPr>
      <w:r>
        <w:t xml:space="preserve">Чп = 10</w:t>
      </w:r>
    </w:p>
    <w:p>
      <w:pPr>
        <w:pStyle w:val="pStyle"/>
      </w:pPr>
      <w:r>
        <w:t xml:space="preserve">оборот по увольнению – численность работников, оставивших работу в данной организации, уход или перевод которых оформлен приказом, а также выбывших в связи со смертью;</w:t>
      </w:r>
    </w:p>
    <w:p>
      <w:pPr>
        <w:pStyle w:val="pStyle"/>
      </w:pPr>
      <w:r>
        <w:t xml:space="preserve">Чу = 11</w:t>
      </w:r>
    </w:p>
    <w:p>
      <w:pPr>
        <w:pStyle w:val="pStyle"/>
      </w:pPr>
      <w:r>
        <w:t xml:space="preserve">общий оборот рабочей силы – сумма оборотов по приему и выбытию.</w:t>
      </w:r>
    </w:p>
    <w:p>
      <w:pPr>
        <w:pStyle w:val="pStyle"/>
      </w:pPr>
      <w:r>
        <w:t xml:space="preserve">Чо = 10 + 11 = 21</w:t>
      </w:r>
    </w:p>
    <w:p>
      <w:pPr>
        <w:pStyle w:val="pStyle"/>
      </w:pPr>
      <w:r>
        <w:t xml:space="preserve">Необходимый оборот – число выбывших работников по причинам производственного или общегосударственного характера, связанное с увеличением или уменьшением объема производственной работы, призывом в Армию, поступлением на учебу.</w:t>
      </w:r>
    </w:p>
    <w:p>
      <w:pPr>
        <w:pStyle w:val="pStyle"/>
      </w:pPr>
      <w:r>
        <w:t xml:space="preserve">Чн = 0 + 0 + 11 + 0 + 0 = 11</w:t>
      </w:r>
    </w:p>
    <w:p>
      <w:pPr>
        <w:pStyle w:val="pStyle"/>
      </w:pPr>
      <w:r>
        <w:t xml:space="preserve">2. </w:t>
      </w:r>
      <w:r>
        <w:rPr>
          <w:b/>
        </w:rPr>
        <w:t>коэффициент оборота по приему</w:t>
      </w:r>
      <w:r>
        <w:t xml:space="preserve"> равен отношению числа принятых за отчетный период к среднесписочному числу работников</w:t>
      </w:r>
    </w:p>
    <w:p>
      <w:pPr>
        <w:pStyle w:val="pStyle"/>
      </w:pPr>
      <w:r>
        <w:t xml:space="preserve">Кп = 10/110 = 0.0909</w:t>
      </w:r>
    </w:p>
    <w:p>
      <w:pPr>
        <w:pStyle w:val="pStyle"/>
      </w:pPr>
      <w:r>
        <w:t xml:space="preserve">3. Коэффициент оборота по увольнению – представляет собой отношение числа уволенных за отчетный период к среднесписочному числу работников</w:t>
      </w:r>
    </w:p>
    <w:p>
      <w:pPr>
        <w:pStyle w:val="pStyle"/>
      </w:pPr>
      <w:r>
        <w:t xml:space="preserve">Ку = 11/110 = 0.1</w:t>
      </w:r>
    </w:p>
    <w:p>
      <w:pPr>
        <w:pStyle w:val="pStyle"/>
      </w:pPr>
      <w:r>
        <w:t xml:space="preserve">5. Коэффициент замещения = число принятых работников / число выбывших работников</w:t>
      </w:r>
    </w:p>
    <w:p>
      <w:pPr>
        <w:pStyle w:val="pStyle"/>
      </w:pPr>
      <w:r>
        <w:t xml:space="preserve">Кз = 10/11 = 0.909</w:t>
      </w:r>
    </w:p>
    <w:p>
      <w:pPr>
        <w:pStyle w:val="pStyle"/>
      </w:pPr>
      <w:r>
        <w:t xml:space="preserve">или</w:t>
      </w:r>
    </w:p>
    <w:p>
      <w:pPr>
        <w:pStyle w:val="pStyle"/>
      </w:pPr>
      <w:r>
        <w:t xml:space="preserve">Коэффициент замещения = (число принятых - число выбывших) / среднее списочное число работников</w:t>
      </w:r>
    </w:p>
    <w:p>
      <w:pPr>
        <w:pStyle w:val="pStyle"/>
      </w:pPr>
      <w:r>
        <w:t xml:space="preserve">Кз = (10-11)/110 = -0.00909</w:t>
      </w:r>
    </w:p>
    <w:p>
      <w:pPr>
        <w:pStyle w:val="pStyle"/>
      </w:pPr>
      <w:r>
        <w:t xml:space="preserve">6. Коэффициент стабильности</w:t>
      </w:r>
    </w:p>
    <w:p>
      <w:pPr>
        <w:pStyle w:val="pStyle"/>
      </w:pPr>
      <w:r>
        <w:t xml:space="preserve">Кст = Число работников, проработавших весь отчетный период / численность персонала на конец периода</w:t>
      </w:r>
    </w:p>
    <w:p>
      <w:pPr>
        <w:pStyle w:val="pStyle"/>
      </w:pPr>
      <w:r>
        <w:t xml:space="preserve">Численность работников, состоявших в списочном составе с 1 января по 31 декабря включительно, т.е. проработавших весь год, определяется следующим образом: из численности работников, состоявших в списках на начало отчетного года (на 1 января), исключаются выбывшие в течение года по всем причинам, кроме выбывших из числа принятых в отчетном году, так как в списках предприятия на 1 января их не было. Из численности работников, состоявших в списках на 1 января, исключаются также переведенные на другие предприятия, переведенные в состав персонала неосновной деятельности своего предприятия (по рабочим - переведенные и в другие категории персонала), кроме переведенных из числа принятых в отчетном году.</w:t>
      </w:r>
    </w:p>
    <w:p>
      <w:pPr>
        <w:pStyle w:val="pStyle"/>
      </w:pPr>
      <w:r>
        <w:t xml:space="preserve">Кст = (T</w:t>
      </w:r>
      <w:r>
        <w:rPr>
          <w:vertAlign w:val="subscript"/>
        </w:rPr>
        <w:t>0</w:t>
      </w:r>
      <w:r>
        <w:t xml:space="preserve"> + 10-11) / 110 = 0</w:t>
      </w:r>
    </w:p>
    <w:p>
      <w:pPr>
        <w:pStyle w:val="pStyle"/>
      </w:pPr>
      <w:r>
        <w:t xml:space="preserve">8. Коэффициент необходимого оборота</w:t>
      </w:r>
    </w:p>
    <w:p>
      <w:pPr>
        <w:pStyle w:val="pStyle"/>
      </w:pPr>
      <w:r>
        <w:t xml:space="preserve">Кно = Чн / среднее списочное число работников</w:t>
      </w:r>
    </w:p>
    <w:p>
      <w:pPr>
        <w:pStyle w:val="pStyle"/>
      </w:pPr>
      <w:r>
        <w:t xml:space="preserve">Кно = 11/110 = 0.1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Показатели движения трудовых ресурсов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Эффект финансового рычага</w:t>
        </w:r>
      </w:hyperlink>
    </w:p>
    <w:p>
      <w:hyperlink r:id="rId9" w:history="1">
        <w:r>
          <w:rPr>
            <w:color w:val="0000FF"/>
            <w:u w:val="single"/>
          </w:rPr>
          <w:t xml:space="preserve">Анализ производительности труда</w:t>
        </w:r>
      </w:hyperlink>
    </w:p>
    <w:p>
      <w:hyperlink r:id="rId10" w:history="1">
        <w:r>
          <w:rPr>
            <w:color w:val="0000FF"/>
            <w:u w:val="single"/>
          </w:rPr>
          <w:t xml:space="preserve">Маржинальный анализ</w:t>
        </w:r>
      </w:hyperlink>
    </w:p>
    <w:p>
      <w:hyperlink r:id="rId11" w:history="1">
        <w:r>
          <w:rPr>
            <w:color w:val="0000FF"/>
            <w:u w:val="single"/>
          </w:rPr>
          <w:t xml:space="preserve">Анализ прибыли</w:t>
        </w:r>
      </w:hyperlink>
    </w:p>
    <w:p>
      <w:hyperlink r:id="rId12" w:history="1">
        <w:r>
          <w:rPr>
            <w:color w:val="0000FF"/>
            <w:u w:val="single"/>
          </w:rPr>
          <w:t xml:space="preserve">Эффект финансового рычага</w:t>
        </w:r>
      </w:hyperlink>
    </w:p>
    <w:p>
      <w:hyperlink r:id="rId13" w:history="1">
        <w:r>
          <w:rPr>
            <w:color w:val="0000FF"/>
            <w:u w:val="single"/>
          </w:rPr>
          <w:t xml:space="preserve">Анализ финансового состояния</w:t>
        </w:r>
      </w:hyperlink>
    </w:p>
    <w:p>
      <w:hyperlink r:id="rId14" w:history="1">
        <w:r>
          <w:rPr>
            <w:color w:val="0000FF"/>
            <w:u w:val="single"/>
          </w:rPr>
          <w:t xml:space="preserve">Анализ оборотных средств</w:t>
        </w:r>
      </w:hyperlink>
    </w:p>
    <w:p>
      <w:hyperlink r:id="rId15" w:history="1">
        <w:r>
          <w:rPr>
            <w:color w:val="0000FF"/>
            <w:u w:val="single"/>
          </w:rPr>
          <w:t xml:space="preserve">Анализ финансовой устойчивости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analisv/manpower.php" TargetMode="External"/>
  <Relationship Id="rId8" Type="http://schemas.openxmlformats.org/officeDocument/2006/relationships/hyperlink" Target="https://axd.semestr.ru/afin/leverage.php" TargetMode="External"/>
  <Relationship Id="rId9" Type="http://schemas.openxmlformats.org/officeDocument/2006/relationships/hyperlink" Target="https://axd.semestr.ru/apt/axd_pt.php" TargetMode="External"/>
  <Relationship Id="rId10" Type="http://schemas.openxmlformats.org/officeDocument/2006/relationships/hyperlink" Target="https://axd.semestr.ru/afin/marginal.php" TargetMode="External"/>
  <Relationship Id="rId11" Type="http://schemas.openxmlformats.org/officeDocument/2006/relationships/hyperlink" Target="https://axd.semestr.ru/afin/profit.php" TargetMode="External"/>
  <Relationship Id="rId12" Type="http://schemas.openxmlformats.org/officeDocument/2006/relationships/hyperlink" Target="https://axd.semestr.ru/afin/axd_lev.php" TargetMode="External"/>
  <Relationship Id="rId13" Type="http://schemas.openxmlformats.org/officeDocument/2006/relationships/hyperlink" Target="https://axd.semestr.ru/afin/axd_finans.php" TargetMode="External"/>
  <Relationship Id="rId14" Type="http://schemas.openxmlformats.org/officeDocument/2006/relationships/hyperlink" Target="https://axd.semestr.ru/afin/axd_oborot.php" TargetMode="External"/>
  <Relationship Id="rId15" Type="http://schemas.openxmlformats.org/officeDocument/2006/relationships/hyperlink" Target="https://axd.semestr.ru/afin/axd_us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2024-09-20T07:29:00+03:00</dcterms:created>
  <dcterms:modified xsi:type="dcterms:W3CDTF">2024-09-20T07:29:00+03:00</dcterms:modified>
  <dc:title>Показатели движения трудовых ресурсов</dc:title>
  <dc:description>https://axd.semestr.ru/analisv/manpower.php</dc:description>
  <dc:subject>Показатели движения трудовых ресурсов</dc:subject>
  <cp:keywords>Показатели движения трудовых ресурсов:коэффициенты оборота по приему, увольнению, необходимого оборота и текучести кадров</cp:keywords>
  <cp:category>Показатели движения трудовых ресурсов</cp:category>
</cp:coreProperties>
</file>