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Полная первоначальная стоимость на начало года: C</w:t>
      </w:r>
      <w:r>
        <w:rPr>
          <w:vertAlign w:val="subscript"/>
        </w:rPr>
        <w:t>н.г.</w:t>
      </w:r>
      <w:r>
        <w:t xml:space="preserve"> = 425 тыс.руб.</w:t>
      </w:r>
    </w:p>
    <w:p>
      <w:pPr>
        <w:pStyle w:val="pStyle"/>
      </w:pPr>
      <w:r>
        <w:t xml:space="preserve">Остаточная стоимость на начало года: C</w:t>
      </w:r>
      <w:r>
        <w:rPr>
          <w:vertAlign w:val="subscript"/>
        </w:rPr>
        <w:t>ост н.г.</w:t>
      </w:r>
      <w:r>
        <w:t xml:space="preserve"> = 365 тыс.руб.</w:t>
      </w:r>
    </w:p>
    <w:p>
      <w:pPr>
        <w:pStyle w:val="pStyle"/>
      </w:pPr>
      <w:r>
        <w:t xml:space="preserve">В течение года поступило основных фондов: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Дата</w:t>
            </w:r>
          </w:p>
        </w:tc>
        <w:tc>
          <w:tcPr>
            <w:tcW w:w="2000" w:type="dxa"/>
          </w:tcPr>
          <w:p>
            <w:r>
              <w:t xml:space="preserve">Новые фонды</w:t>
            </w:r>
          </w:p>
        </w:tc>
        <w:tc>
          <w:tcPr>
            <w:tcW w:w="2000" w:type="dxa"/>
          </w:tcPr>
          <w:p>
            <w:r>
              <w:t xml:space="preserve">Полная первоначальная стоимость</w:t>
            </w:r>
          </w:p>
        </w:tc>
      </w:tr>
      <w:tr>
        <w:tc>
          <w:tcPr>
            <w:tcW w:w="2000" w:type="dxa"/>
          </w:tcPr>
          <w:p>
            <w:r>
              <w:t xml:space="preserve">1 января</w:t>
            </w:r>
          </w:p>
        </w:tc>
        <w:tc>
          <w:tcPr>
            <w:tcW w:w="2000" w:type="dxa"/>
          </w:tcPr>
          <w:p>
            <w:r>
              <w:t xml:space="preserve">320</w:t>
            </w:r>
          </w:p>
        </w:tc>
        <w:tc>
          <w:tcPr>
            <w:tcW w:w="2000" w:type="dxa"/>
          </w:tcPr>
          <w:p>
            <w:r>
              <w:t xml:space="preserve">320</w:t>
            </w:r>
          </w:p>
        </w:tc>
      </w:tr>
    </w:tbl>
    <w:p>
      <w:pPr>
        <w:pStyle w:val="pStyle"/>
      </w:pPr>
      <w:r>
        <w:t xml:space="preserve">Среднегодовая стоимость поступивших основных фондов ( тыс.руб.):</w:t>
      </w:r>
    </w:p>
    <w:p>
      <m:oMathPara>
        <m:oMath>
          <m:sSub>
            <m:e>
              <m:r>
                <m:t>C</m:t>
              </m:r>
            </m:e>
            <m:sub>
              <m:r>
                <m:t>п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e>
                  <m:r>
                    <m:t>C</m:t>
                  </m:r>
                </m:e>
                <m:sub>
                  <m:r>
                    <m:t>t</m:t>
                  </m:r>
                </m:sub>
              </m:sSub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640</m:t>
          </m:r>
        </m:oMath>
      </m:oMathPara>
      <m:oMathPara>
        <m:oMath>
          <m:r>
            <m:t>=</m:t>
          </m:r>
        </m:oMath>
      </m:oMathPara>
      <m:oMathPara>
        <m:oMath>
          <m:r>
            <m:t>320 + 320</m:t>
          </m:r>
        </m:oMath>
      </m:oMathPara>
      <w:r>
        <w:t xml:space="preserve">   тыс.руб.</w:t>
      </w:r>
    </w:p>
    <w:p>
      <w:pPr>
        <w:pStyle w:val="pStyle"/>
      </w:pPr>
      <w:r>
        <w:t xml:space="preserve">В течение года выбыло основных фондов: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Дата</w:t>
            </w:r>
          </w:p>
        </w:tc>
        <w:tc>
          <w:tcPr>
            <w:tcW w:w="2000" w:type="dxa"/>
          </w:tcPr>
          <w:p>
            <w:r>
              <w:t xml:space="preserve">Полная первоначальная стоимость</w:t>
            </w:r>
          </w:p>
        </w:tc>
        <w:tc>
          <w:tcPr>
            <w:tcW w:w="2000" w:type="dxa"/>
          </w:tcPr>
          <w:p>
            <w:r>
              <w:t xml:space="preserve">Остаточная стоимость</w:t>
            </w:r>
          </w:p>
        </w:tc>
      </w:tr>
      <w:tr>
        <w:tc>
          <w:tcPr>
            <w:tcW w:w="2000" w:type="dxa"/>
          </w:tcPr>
          <w:p>
            <w:r>
              <w:t xml:space="preserve">1 января</w:t>
            </w:r>
          </w:p>
        </w:tc>
        <w:tc>
          <w:tcPr>
            <w:tcW w:w="2000" w:type="dxa"/>
          </w:tcPr>
          <w:p>
            <w:r>
              <w:t xml:space="preserve">94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Стоимость выбывших основных фондов по первоначальной стоимости ( тыс.руб.):</w:t>
      </w:r>
    </w:p>
    <w:p>
      <w:pPr>
        <w:pStyle w:val="pStyle"/>
      </w:pPr>
      <w:r>
        <w:t xml:space="preserve">C</w:t>
      </w:r>
      <w:r>
        <w:rPr>
          <w:vertAlign w:val="subscript"/>
        </w:rPr>
        <w:t>в</w:t>
      </w:r>
      <w:r>
        <w:t xml:space="preserve"> = 94 тыс.руб.</w:t>
      </w:r>
    </w:p>
    <w:p>
      <w:pPr>
        <w:pStyle w:val="pStyle"/>
      </w:pPr>
      <w:r>
        <w:t xml:space="preserve">Стоимость основных фондов по первоначальной стоимости на конец года:</w:t>
      </w:r>
    </w:p>
    <w:p>
      <w:pPr>
        <w:pStyle w:val="pStyle"/>
      </w:pPr>
      <w:r>
        <w:t xml:space="preserve">C</w:t>
      </w:r>
      <w:r>
        <w:rPr>
          <w:vertAlign w:val="subscript"/>
        </w:rPr>
        <w:t>к.г.</w:t>
      </w:r>
      <w:r>
        <w:t xml:space="preserve"> = C</w:t>
      </w:r>
      <w:r>
        <w:rPr>
          <w:vertAlign w:val="subscript"/>
        </w:rPr>
        <w:t>н.г.</w:t>
      </w:r>
      <w:r>
        <w:t xml:space="preserve"> + C</w:t>
      </w:r>
      <w:r>
        <w:rPr>
          <w:vertAlign w:val="subscript"/>
        </w:rPr>
        <w:t>п</w:t>
      </w:r>
      <w:r>
        <w:t xml:space="preserve"> - C</w:t>
      </w:r>
      <w:r>
        <w:rPr>
          <w:vertAlign w:val="subscript"/>
        </w:rPr>
        <w:t>в</w:t>
      </w:r>
      <w:r>
        <w:t xml:space="preserve"> = 425+320+320-94 = 971 тыс.руб.</w:t>
      </w:r>
    </w:p>
    <w:p>
      <w:pPr>
        <w:pStyle w:val="pStyle"/>
      </w:pPr>
      <w:r>
        <w:t xml:space="preserve">Остаточная стоимость основных фондов на конец года:</w:t>
      </w:r>
    </w:p>
    <w:p>
      <w:pPr>
        <w:pStyle w:val="pStyle"/>
      </w:pPr>
      <w:r>
        <w:t xml:space="preserve">C</w:t>
      </w:r>
      <w:r>
        <w:rPr>
          <w:vertAlign w:val="subscript"/>
        </w:rPr>
        <w:t>ост к.г.</w:t>
      </w:r>
      <w:r>
        <w:t xml:space="preserve"> = C</w:t>
      </w:r>
      <w:r>
        <w:rPr>
          <w:vertAlign w:val="subscript"/>
        </w:rPr>
        <w:t>ост н.г.</w:t>
      </w:r>
      <w:r>
        <w:t xml:space="preserve"> + C</w:t>
      </w:r>
      <w:r>
        <w:rPr>
          <w:vertAlign w:val="subscript"/>
        </w:rPr>
        <w:t>ост п</w:t>
      </w:r>
      <w:r>
        <w:t xml:space="preserve"> - C</w:t>
      </w:r>
      <w:r>
        <w:rPr>
          <w:vertAlign w:val="subscript"/>
        </w:rPr>
        <w:t>ост в</w:t>
      </w:r>
      <w:r>
        <w:t xml:space="preserve"> - A = 365+320 - 60 = 625 тыс.руб.</w:t>
      </w:r>
    </w:p>
    <w:p>
      <w:pPr>
        <w:pStyle w:val="pStyle"/>
      </w:pPr>
      <w:r>
        <w:t xml:space="preserve">Среднегодовая стоимость основных фондов оп остаточной стоимости на конец года:</w:t>
      </w:r>
    </w:p>
    <w:p>
      <w:pPr>
        <w:pStyle w:val="pStyle"/>
      </w:pPr>
      <w:r>
        <w:t xml:space="preserve">C</w:t>
      </w:r>
      <w:r>
        <w:rPr>
          <w:vertAlign w:val="subscript"/>
        </w:rPr>
        <w:t>ост к.г.</w:t>
      </w:r>
      <w:r>
        <w:t xml:space="preserve"> = C</w:t>
      </w:r>
      <w:r>
        <w:rPr>
          <w:vertAlign w:val="subscript"/>
        </w:rPr>
        <w:t>ост н.г.</w:t>
      </w:r>
      <w:r>
        <w:t xml:space="preserve"> + C</w:t>
      </w:r>
      <w:r>
        <w:rPr>
          <w:vertAlign w:val="subscript"/>
        </w:rPr>
        <w:t>ост п</w:t>
      </w:r>
      <w:r>
        <w:t xml:space="preserve"> - C</w:t>
      </w:r>
      <w:r>
        <w:rPr>
          <w:vertAlign w:val="subscript"/>
        </w:rPr>
        <w:t>ост в</w:t>
      </w:r>
      <w:r>
        <w:t xml:space="preserve"> - A = 365+640- - 60 = 945 тыс.руб.</w:t>
      </w:r>
    </w:p>
    <w:tbl>
      <w:tblPr>
        <w:tblStyle w:val="myOwnTableStyle"/>
        <w:jc w:val="center"/>
      </w:tblPr>
      <w:tr>
        <w:tc>
          <w:tcPr>
            <w:tcW w:w="2000" w:type="dxa"/>
            <w:vMerge w:val="restart"/>
          </w:tcPr>
          <w:p>
            <w:r>
              <w:t xml:space="preserve">Стоимость ОФ</w:t>
            </w:r>
          </w:p>
        </w:tc>
        <w:tc>
          <w:tcPr>
            <w:tcW w:w="2000" w:type="dxa"/>
            <w:vMerge w:val="restart"/>
          </w:tcPr>
          <w:p>
            <w:r>
              <w:t xml:space="preserve">Наличие на начало года</w:t>
            </w:r>
          </w:p>
        </w:tc>
        <w:tc>
          <w:tcPr>
            <w:tcW w:w="4000" w:type="dxa"/>
            <w:gridSpan w:val="2"/>
          </w:tcPr>
          <w:p>
            <w:r>
              <w:t xml:space="preserve">Поступило в отчетном году</w:t>
            </w:r>
          </w:p>
        </w:tc>
        <w:tc>
          <w:tcPr>
            <w:tcW w:w="4000" w:type="dxa"/>
            <w:gridSpan w:val="2"/>
          </w:tcPr>
          <w:p>
            <w:r>
              <w:t xml:space="preserve">Выбыло в отчетном году</w:t>
            </w:r>
          </w:p>
        </w:tc>
        <w:tc>
          <w:tcPr>
            <w:tcW w:w="2000" w:type="dxa"/>
            <w:vMerge w:val="restart"/>
          </w:tcPr>
          <w:p>
            <w:r>
              <w:t xml:space="preserve">Наличие на конец года</w:t>
            </w:r>
          </w:p>
        </w:tc>
      </w:tr>
      <w:tr>
        <w:tc>
          <w:tcPr>
            <w:tcW w:w="2000" w:type="dxa"/>
            <w:vMerge/>
          </w:tcPr>
          <w:p/>
        </w:tc>
        <w:tc>
          <w:tcPr>
            <w:tcW w:w="2000" w:type="dxa"/>
            <w:vMerge/>
          </w:tcPr>
          <w:p/>
        </w:tc>
        <w:tc>
          <w:tcPr>
            <w:tcW w:w="2000" w:type="dxa"/>
          </w:tcPr>
          <w:p>
            <w:r>
              <w:t xml:space="preserve">Всего</w:t>
            </w:r>
          </w:p>
        </w:tc>
        <w:tc>
          <w:tcPr>
            <w:tcW w:w="2000" w:type="dxa"/>
          </w:tcPr>
          <w:p>
            <w:r>
              <w:t xml:space="preserve">Введено новых</w:t>
            </w:r>
          </w:p>
        </w:tc>
        <w:tc>
          <w:tcPr>
            <w:tcW w:w="2000" w:type="dxa"/>
          </w:tcPr>
          <w:p>
            <w:r>
              <w:t xml:space="preserve">Всего</w:t>
            </w:r>
          </w:p>
        </w:tc>
        <w:tc>
          <w:tcPr>
            <w:tcW w:w="2000" w:type="dxa"/>
          </w:tcPr>
          <w:p>
            <w:r>
              <w:t xml:space="preserve">Из-за ветхости или износа</w:t>
            </w:r>
          </w:p>
        </w:tc>
        <w:tc>
          <w:tcPr>
            <w:tcW w:w="2000" w:type="dxa"/>
            <w:vMerge/>
          </w:tcPr>
          <w:p/>
        </w:tc>
      </w:tr>
      <w:tr>
        <w:tc>
          <w:tcPr>
            <w:tcW w:w="2000" w:type="dxa"/>
          </w:tcPr>
          <w:p>
            <w:r>
              <w:t xml:space="preserve">По первоначальной стоимости</w:t>
            </w:r>
          </w:p>
        </w:tc>
        <w:tc>
          <w:tcPr>
            <w:tcW w:w="2000" w:type="dxa"/>
          </w:tcPr>
          <w:p>
            <w:r>
              <w:t xml:space="preserve">425</w:t>
            </w:r>
          </w:p>
        </w:tc>
        <w:tc>
          <w:tcPr>
            <w:tcW w:w="2000" w:type="dxa"/>
          </w:tcPr>
          <w:p>
            <w:r>
              <w:t xml:space="preserve">640</w:t>
            </w:r>
          </w:p>
        </w:tc>
        <w:tc>
          <w:tcPr>
            <w:tcW w:w="2000" w:type="dxa"/>
          </w:tcPr>
          <w:p>
            <w:r>
              <w:t xml:space="preserve">640</w:t>
            </w:r>
          </w:p>
        </w:tc>
        <w:tc>
          <w:tcPr>
            <w:tcW w:w="2000" w:type="dxa"/>
          </w:tcPr>
          <w:p>
            <w:r>
              <w:t xml:space="preserve">94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971</w:t>
            </w:r>
          </w:p>
        </w:tc>
      </w:tr>
      <w:tr>
        <w:tc>
          <w:tcPr>
            <w:tcW w:w="2000" w:type="dxa"/>
          </w:tcPr>
          <w:p>
            <w:r>
              <w:t xml:space="preserve">По остаточной стоимости</w:t>
            </w:r>
          </w:p>
        </w:tc>
        <w:tc>
          <w:tcPr>
            <w:tcW w:w="2000" w:type="dxa"/>
          </w:tcPr>
          <w:p>
            <w:r>
              <w:t xml:space="preserve">365</w:t>
            </w:r>
          </w:p>
        </w:tc>
        <w:tc>
          <w:tcPr>
            <w:tcW w:w="2000" w:type="dxa"/>
          </w:tcPr>
          <w:p>
            <w:r>
              <w:t xml:space="preserve">640</w:t>
            </w:r>
          </w:p>
        </w:tc>
        <w:tc>
          <w:tcPr>
            <w:tcW w:w="2000" w:type="dxa"/>
          </w:tcPr>
          <w:p>
            <w:r>
              <w:t xml:space="preserve">640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625</w:t>
            </w:r>
          </w:p>
        </w:tc>
      </w:tr>
    </w:tbl>
    <w:p>
      <w:pPr>
        <w:pStyle w:val="pStyle"/>
      </w:pPr>
      <w:r>
        <w:rPr>
          <w:b/>
        </w:rPr>
        <w:t>Коэффициент износа</w:t>
      </w:r>
      <w:r>
        <w:t xml:space="preserve"> показывает, какую часть своей полной стоимости основные фонды уже утратили в результате их использования.</w:t>
      </w:r>
    </w:p>
    <w:p>
      <w:pPr>
        <w:pStyle w:val="pStyle"/>
      </w:pPr>
      <w:r>
        <w:t xml:space="preserve">K</w:t>
      </w:r>
      <w:r>
        <w:rPr>
          <w:vertAlign w:val="subscript"/>
        </w:rPr>
        <w:t>и н.г.</w:t>
      </w:r>
      <w:r>
        <w:t xml:space="preserve"> = (C</w:t>
      </w:r>
      <w:r>
        <w:rPr>
          <w:vertAlign w:val="subscript"/>
        </w:rPr>
        <w:t>н.г.</w:t>
      </w:r>
      <w:r>
        <w:t xml:space="preserve">-C</w:t>
      </w:r>
      <w:r>
        <w:rPr>
          <w:vertAlign w:val="subscript"/>
        </w:rPr>
        <w:t>ост н.г.</w:t>
      </w:r>
      <w:r>
        <w:t xml:space="preserve">)/C</w:t>
      </w:r>
      <w:r>
        <w:rPr>
          <w:vertAlign w:val="subscript"/>
        </w:rPr>
        <w:t>н.г.</w:t>
      </w:r>
      <w:r>
        <w:t xml:space="preserve"> = (425-365)/425 = 14.1%</w:t>
      </w:r>
    </w:p>
    <w:p>
      <w:pPr>
        <w:pStyle w:val="pStyle"/>
      </w:pPr>
      <w:r>
        <w:t xml:space="preserve">K</w:t>
      </w:r>
      <w:r>
        <w:rPr>
          <w:vertAlign w:val="subscript"/>
        </w:rPr>
        <w:t>и к.г.</w:t>
      </w:r>
      <w:r>
        <w:t xml:space="preserve"> = (C</w:t>
      </w:r>
      <w:r>
        <w:rPr>
          <w:vertAlign w:val="subscript"/>
        </w:rPr>
        <w:t>к.г.</w:t>
      </w:r>
      <w:r>
        <w:t xml:space="preserve">-C</w:t>
      </w:r>
      <w:r>
        <w:rPr>
          <w:vertAlign w:val="subscript"/>
        </w:rPr>
        <w:t>ост к.г.</w:t>
      </w:r>
      <w:r>
        <w:t xml:space="preserve">)/C</w:t>
      </w:r>
      <w:r>
        <w:rPr>
          <w:vertAlign w:val="subscript"/>
        </w:rPr>
        <w:t>к.г.</w:t>
      </w:r>
      <w:r>
        <w:t xml:space="preserve"> = (971-945)/971 = 2.7%</w:t>
      </w:r>
    </w:p>
    <w:p>
      <w:pPr>
        <w:pStyle w:val="pStyle"/>
      </w:pPr>
      <w:r>
        <w:t xml:space="preserve">Износ основных фондов уменьшился (2.7%-14.1%=-11.4%) благодаря вводу в действие новых фондов.</w:t>
      </w:r>
    </w:p>
    <w:p>
      <w:pPr>
        <w:pStyle w:val="pStyle"/>
      </w:pPr>
      <w:r>
        <w:rPr>
          <w:b/>
        </w:rPr>
        <w:t>Коэффициент годности</w:t>
      </w:r>
      <w:r>
        <w:t xml:space="preserve"> показывает, какую часть своей полной стоимости основные фонды сохранили на определенную дату.</w:t>
      </w:r>
    </w:p>
    <w:p>
      <w:pPr>
        <w:pStyle w:val="pStyle"/>
      </w:pPr>
      <w:r>
        <w:t xml:space="preserve">K</w:t>
      </w:r>
      <w:r>
        <w:rPr>
          <w:vertAlign w:val="subscript"/>
        </w:rPr>
        <w:t>и н.г.</w:t>
      </w:r>
      <w:r>
        <w:t xml:space="preserve"> = C</w:t>
      </w:r>
      <w:r>
        <w:rPr>
          <w:vertAlign w:val="subscript"/>
        </w:rPr>
        <w:t>ост н.г.</w:t>
      </w:r>
      <w:r>
        <w:t xml:space="preserve">/C</w:t>
      </w:r>
      <w:r>
        <w:rPr>
          <w:vertAlign w:val="subscript"/>
        </w:rPr>
        <w:t>н.г.</w:t>
      </w:r>
      <w:r>
        <w:t xml:space="preserve"> = 365/425 = 85.9%</w:t>
      </w:r>
    </w:p>
    <w:p>
      <w:pPr>
        <w:pStyle w:val="pStyle"/>
      </w:pPr>
      <w:r>
        <w:t xml:space="preserve">K</w:t>
      </w:r>
      <w:r>
        <w:rPr>
          <w:vertAlign w:val="subscript"/>
        </w:rPr>
        <w:t>и к.г.</w:t>
      </w:r>
      <w:r>
        <w:t xml:space="preserve"> = C</w:t>
      </w:r>
      <w:r>
        <w:rPr>
          <w:vertAlign w:val="subscript"/>
        </w:rPr>
        <w:t>ост к.г.</w:t>
      </w:r>
      <w:r>
        <w:t xml:space="preserve">/C</w:t>
      </w:r>
      <w:r>
        <w:rPr>
          <w:vertAlign w:val="subscript"/>
        </w:rPr>
        <w:t>к.г.</w:t>
      </w:r>
      <w:r>
        <w:t xml:space="preserve"> = 945/971 = 97.3%</w:t>
      </w:r>
    </w:p>
    <w:p>
      <w:pPr>
        <w:pStyle w:val="pStyle"/>
      </w:pPr>
      <w:r>
        <w:rPr>
          <w:b/>
        </w:rPr>
        <w:t>Коэффициент обновления</w:t>
      </w:r>
      <w:r>
        <w:t xml:space="preserve"> (К</w:t>
      </w:r>
      <w:r>
        <w:rPr>
          <w:vertAlign w:val="subscript"/>
        </w:rPr>
        <w:t>обн</w:t>
      </w:r>
      <w:r>
        <w:t xml:space="preserve">) характеризует долю новых основных фондов в их общем объеме (по полной оценке) на конец периода и исчисляется по следующей формуле:</w:t>
      </w:r>
    </w:p>
    <w:p>
      <w:pPr>
        <w:pStyle w:val="pStyle"/>
      </w:pPr>
      <w:r>
        <w:t xml:space="preserve">K</w:t>
      </w:r>
      <w:r>
        <w:rPr>
          <w:vertAlign w:val="subscript"/>
        </w:rPr>
        <w:t>обн</w:t>
      </w:r>
      <w:r>
        <w:t xml:space="preserve"> = C</w:t>
      </w:r>
      <w:r>
        <w:rPr>
          <w:vertAlign w:val="subscript"/>
        </w:rPr>
        <w:t>нов</w:t>
      </w:r>
      <w:r>
        <w:t xml:space="preserve">/C</w:t>
      </w:r>
      <w:r>
        <w:rPr>
          <w:vertAlign w:val="subscript"/>
        </w:rPr>
        <w:t>к.г.</w:t>
      </w:r>
      <w:r>
        <w:t xml:space="preserve"> = 320/971 = 33%</w:t>
      </w:r>
    </w:p>
    <w:p>
      <w:pPr>
        <w:pStyle w:val="pStyle"/>
      </w:pPr>
      <w:r>
        <w:t xml:space="preserve">Доля новых основных фондов в их общем объеме составила 32.96%.</w:t>
      </w:r>
    </w:p>
    <w:p>
      <w:pPr>
        <w:pStyle w:val="pStyle"/>
      </w:pPr>
      <w:r>
        <w:rPr>
          <w:b/>
        </w:rPr>
        <w:t>Коэффициент выбытия</w:t>
      </w:r>
      <w:r>
        <w:t xml:space="preserve"> (К</w:t>
      </w:r>
      <w:r>
        <w:rPr>
          <w:vertAlign w:val="subscript"/>
        </w:rPr>
        <w:t>выб</w:t>
      </w:r>
      <w:r>
        <w:t xml:space="preserve">) характеризует долю выбывших основных фондов в течение периода в общей их стоимости (по полной оценке) на начало периода и исчисляется по формуле:</w:t>
      </w:r>
    </w:p>
    <w:p>
      <w:pPr>
        <w:pStyle w:val="pStyle"/>
      </w:pPr>
      <w:r>
        <w:t xml:space="preserve">K</w:t>
      </w:r>
      <w:r>
        <w:rPr>
          <w:vertAlign w:val="subscript"/>
        </w:rPr>
        <w:t>выб</w:t>
      </w:r>
      <w:r>
        <w:t xml:space="preserve"> = C</w:t>
      </w:r>
      <w:r>
        <w:rPr>
          <w:vertAlign w:val="subscript"/>
        </w:rPr>
        <w:t>в</w:t>
      </w:r>
      <w:r>
        <w:t xml:space="preserve">/C</w:t>
      </w:r>
      <w:r>
        <w:rPr>
          <w:vertAlign w:val="subscript"/>
        </w:rPr>
        <w:t>н.г.</w:t>
      </w:r>
      <w:r>
        <w:t xml:space="preserve"> = 0/425 = 0%</w:t>
      </w:r>
    </w:p>
    <w:p>
      <w:pPr>
        <w:pStyle w:val="pStyle"/>
      </w:pPr>
      <w:r>
        <w:t xml:space="preserve">Доля выбывших основных фондов в течение года в общей их стоимости составила 0%.</w:t>
      </w:r>
    </w:p>
    <w:p>
      <w:pPr>
        <w:pStyle w:val="pStyle"/>
      </w:pPr>
      <w:r>
        <w:rPr>
          <w:b/>
        </w:rPr>
        <w:t>Соотношение стоимости ликвидированных и новых фондов</w:t>
      </w:r>
      <w:r>
        <w:t xml:space="preserve">:</w:t>
      </w:r>
    </w:p>
    <w:p>
      <w:pPr>
        <w:pStyle w:val="pStyle"/>
      </w:pPr>
      <w:r>
        <w:t xml:space="preserve">K</w:t>
      </w:r>
      <w:r>
        <w:rPr>
          <w:vertAlign w:val="subscript"/>
        </w:rPr>
        <w:t>с.полн.</w:t>
      </w:r>
      <w:r>
        <w:t xml:space="preserve"> = C</w:t>
      </w:r>
      <w:r>
        <w:rPr>
          <w:vertAlign w:val="subscript"/>
        </w:rPr>
        <w:t>выб.</w:t>
      </w:r>
      <w:r>
        <w:t xml:space="preserve">/C</w:t>
      </w:r>
      <w:r>
        <w:rPr>
          <w:vertAlign w:val="subscript"/>
        </w:rPr>
        <w:t>п</w:t>
      </w:r>
      <w:r>
        <w:t xml:space="preserve"> = 94/640 = 0.15</w:t>
      </w:r>
    </w:p>
    <w:p>
      <w:pPr>
        <w:pStyle w:val="pStyle"/>
      </w:pPr>
      <w:r>
        <w:t xml:space="preserve">K</w:t>
      </w:r>
      <w:r>
        <w:rPr>
          <w:vertAlign w:val="subscript"/>
        </w:rPr>
        <w:t>с.ост.</w:t>
      </w:r>
      <w:r>
        <w:t xml:space="preserve"> = C</w:t>
      </w:r>
      <w:r>
        <w:rPr>
          <w:vertAlign w:val="subscript"/>
        </w:rPr>
        <w:t>выб.</w:t>
      </w:r>
      <w:r>
        <w:t xml:space="preserve">/C</w:t>
      </w:r>
      <w:r>
        <w:rPr>
          <w:vertAlign w:val="subscript"/>
        </w:rPr>
        <w:t>п</w:t>
      </w:r>
      <w:r>
        <w:t xml:space="preserve"> = 0/320 = 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Баланс движения основных фондов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Факторный 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tex/basic-production.php" TargetMode="External"/>
  <Relationship Id="rId8" Type="http://schemas.openxmlformats.org/officeDocument/2006/relationships/hyperlink" Target="https://axd.semestr.ru/atex/axd_fond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tex/productivity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fin/axd_lev.php" TargetMode="External"/>
  <Relationship Id="rId13" Type="http://schemas.openxmlformats.org/officeDocument/2006/relationships/hyperlink" Target="https://axd.semestr.ru/afin/axd_finans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2024-09-30T15:41:00+03:00</dcterms:created>
  <dcterms:modified xsi:type="dcterms:W3CDTF">2024-09-30T15:41:00+03:00</dcterms:modified>
  <dc:title>Баланс движения основных фондов</dc:title>
  <dc:description>https://axd.semestr.ru/atex/basic-production.php</dc:description>
  <dc:subject>Баланс движения основных фондов</dc:subject>
  <cp:keywords>Среднегодовая стоимость ОПФ,Баланс движения основных фондов</cp:keywords>
  <cp:category>Баланс движения основных фондов</cp:category>
</cp:coreProperties>
</file>