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Производство продукции, наличие и использование основного капитала</w:t>
      </w:r>
    </w:p>
    <w:tbl>
      <w:tblPr>
        <w:tblStyle w:val="myOwnTableStyle"/>
        <w:jc w:val="center"/>
      </w:tblPr>
      <w:tr>
        <w:tc>
          <w:tcPr>
            <w:tcW w:w="6000" w:type="dxa"/>
          </w:tcPr>
          <w:p>
            <w:r>
              <w:t xml:space="preserve">Показатель</w:t>
            </w:r>
          </w:p>
        </w:tc>
        <w:tc>
          <w:tcPr>
            <w:tcW w:w="1000" w:type="dxa"/>
          </w:tcPr>
          <w:p>
            <w:r>
              <w:t xml:space="preserve">План</w:t>
            </w:r>
          </w:p>
        </w:tc>
        <w:tc>
          <w:tcPr>
            <w:tcW w:w="1000" w:type="dxa"/>
          </w:tcPr>
          <w:p>
            <w:r>
              <w:t xml:space="preserve">Факт</w:t>
            </w:r>
          </w:p>
        </w:tc>
        <w:tc>
          <w:tcPr>
            <w:tcW w:w="1000" w:type="dxa"/>
          </w:tcPr>
          <w:p>
            <w:r>
              <w:t xml:space="preserve">Изменения</w:t>
            </w:r>
          </w:p>
        </w:tc>
        <w:tc>
          <w:tcPr>
            <w:tcW w:w="1000" w:type="dxa"/>
          </w:tcPr>
          <w:p>
            <w:r>
              <w:t xml:space="preserve">в %</w:t>
            </w:r>
          </w:p>
        </w:tc>
      </w:tr>
      <w:tr>
        <w:tc>
          <w:tcPr>
            <w:tcW w:w="6000" w:type="dxa"/>
          </w:tcPr>
          <w:p>
            <w:r>
              <w:t xml:space="preserve">1. Объем выпуска продукции,  руб.</w:t>
            </w:r>
          </w:p>
        </w:tc>
        <w:tc>
          <w:tcPr>
            <w:tcW w:w="1000" w:type="dxa"/>
          </w:tcPr>
          <w:p>
            <w:r>
              <w:t xml:space="preserve">360000</w:t>
            </w:r>
          </w:p>
        </w:tc>
        <w:tc>
          <w:tcPr>
            <w:tcW w:w="1000" w:type="dxa"/>
          </w:tcPr>
          <w:p>
            <w:r>
              <w:t xml:space="preserve">320000</w:t>
            </w:r>
          </w:p>
        </w:tc>
        <w:tc>
          <w:tcPr>
            <w:tcW w:w="1000" w:type="dxa"/>
          </w:tcPr>
          <w:p>
            <w:r>
              <w:t xml:space="preserve">-40000</w:t>
            </w:r>
          </w:p>
        </w:tc>
        <w:tc>
          <w:tcPr>
            <w:tcW w:w="1000" w:type="dxa"/>
          </w:tcPr>
          <w:p>
            <w:r>
              <w:t xml:space="preserve">-11.11</w:t>
            </w:r>
          </w:p>
        </w:tc>
      </w:tr>
      <w:tr>
        <w:tc>
          <w:tcPr>
            <w:tcW w:w="6000" w:type="dxa"/>
          </w:tcPr>
          <w:p>
            <w:r>
              <w:t xml:space="preserve">2. Среднегодовая стоимость,  руб., Ф</w:t>
            </w:r>
          </w:p>
        </w:tc>
        <w:tc>
          <w:tcPr>
            <w:tcW w:w="1000" w:type="dxa"/>
          </w:tcPr>
          <w:p>
            <w:r>
              <w:t xml:space="preserve">145000</w:t>
            </w:r>
          </w:p>
        </w:tc>
        <w:tc>
          <w:tcPr>
            <w:tcW w:w="1000" w:type="dxa"/>
          </w:tcPr>
          <w:p>
            <w:r>
              <w:t xml:space="preserve">138000</w:t>
            </w:r>
          </w:p>
        </w:tc>
        <w:tc>
          <w:tcPr>
            <w:tcW w:w="1000" w:type="dxa"/>
          </w:tcPr>
          <w:p>
            <w:r>
              <w:t xml:space="preserve">-7000</w:t>
            </w:r>
          </w:p>
        </w:tc>
        <w:tc>
          <w:tcPr>
            <w:tcW w:w="1000" w:type="dxa"/>
          </w:tcPr>
          <w:p>
            <w:r>
              <w:t xml:space="preserve">-4.83</w:t>
            </w:r>
          </w:p>
        </w:tc>
      </w:tr>
      <w:tr>
        <w:tc>
          <w:tcPr>
            <w:tcW w:w="6000" w:type="dxa"/>
          </w:tcPr>
          <w:p>
            <w:r>
              <w:t xml:space="preserve">2а. в т.ч. активной части  руб., Фа</w:t>
            </w:r>
          </w:p>
        </w:tc>
        <w:tc>
          <w:tcPr>
            <w:tcW w:w="1000" w:type="dxa"/>
          </w:tcPr>
          <w:p>
            <w:r>
              <w:t xml:space="preserve">88</w:t>
            </w:r>
          </w:p>
        </w:tc>
        <w:tc>
          <w:tcPr>
            <w:tcW w:w="1000" w:type="dxa"/>
          </w:tcPr>
          <w:p>
            <w:r>
              <w:t xml:space="preserve">92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4.55</w:t>
            </w:r>
          </w:p>
        </w:tc>
      </w:tr>
      <w:tr>
        <w:tc>
          <w:tcPr>
            <w:tcW w:w="6000" w:type="dxa"/>
          </w:tcPr>
          <w:p>
            <w:r>
              <w:t xml:space="preserve">3. Фондоотдача, руб. (стр. 1/стр.2), ФО</w:t>
            </w:r>
          </w:p>
        </w:tc>
        <w:tc>
          <w:tcPr>
            <w:tcW w:w="1000" w:type="dxa"/>
          </w:tcPr>
          <w:p>
            <w:r>
              <w:t xml:space="preserve">2.48</w:t>
            </w:r>
          </w:p>
        </w:tc>
        <w:tc>
          <w:tcPr>
            <w:tcW w:w="1000" w:type="dxa"/>
          </w:tcPr>
          <w:p>
            <w:r>
              <w:t xml:space="preserve">2.32</w:t>
            </w:r>
          </w:p>
        </w:tc>
        <w:tc>
          <w:tcPr>
            <w:tcW w:w="1000" w:type="dxa"/>
          </w:tcPr>
          <w:p>
            <w:r>
              <w:t xml:space="preserve">-0.16</w:t>
            </w:r>
          </w:p>
        </w:tc>
        <w:tc>
          <w:tcPr>
            <w:tcW w:w="1000" w:type="dxa"/>
          </w:tcPr>
          <w:p>
            <w:r>
              <w:t xml:space="preserve">-6.6</w:t>
            </w:r>
          </w:p>
        </w:tc>
      </w:tr>
    </w:tbl>
    <w:p>
      <w:pPr>
        <w:pStyle w:val="pStyle"/>
      </w:pPr>
      <w:r>
        <w:t xml:space="preserve">Из производственных расчетов видно что фондоотдача ОПФ уменьшилась на 6.602% причем:</w:t>
      </w:r>
    </w:p>
    <w:p>
      <w:pPr>
        <w:pStyle w:val="pStyle"/>
      </w:pPr>
      <w:r>
        <w:t xml:space="preserve">00.245 руб. за счет увеличения доли активной части в общей стоимости основных средств: ∆ФО</w:t>
      </w:r>
      <w:r>
        <w:rPr>
          <w:vertAlign w:val="superscript"/>
        </w:rPr>
        <w:t>da</w:t>
      </w:r>
      <w:r>
        <w:t xml:space="preserve"> = 4090.909 ∙ (0.000667 - 0.000607)</w:t>
      </w:r>
    </w:p>
    <w:p>
      <w:pPr>
        <w:pStyle w:val="pStyle"/>
      </w:pPr>
      <w:r>
        <w:t xml:space="preserve">0-0.408 руб. за счет снижения отдачи активной части основных средств: ∆ФО</w:t>
      </w:r>
      <w:r>
        <w:rPr>
          <w:vertAlign w:val="superscript"/>
        </w:rPr>
        <w:t>a</w:t>
      </w:r>
      <w:r>
        <w:t xml:space="preserve"> = (3478.261 - 4090.909) ∙ 0.000667</w:t>
      </w:r>
    </w:p>
    <w:p>
      <w:pPr>
        <w:pStyle w:val="pStyle"/>
      </w:pPr>
      <w:r>
        <w:t xml:space="preserve">В результате общая фондоотдача снизилась на 0.164 руб.: ∆ФО = ∆ФО</w:t>
      </w:r>
      <w:r>
        <w:rPr>
          <w:vertAlign w:val="superscript"/>
        </w:rPr>
        <w:t>da</w:t>
      </w:r>
      <w:r>
        <w:t xml:space="preserve"> + ∆ФО</w:t>
      </w:r>
      <w:r>
        <w:rPr>
          <w:vertAlign w:val="superscript"/>
        </w:rPr>
        <w:t>a</w:t>
      </w:r>
      <w:r>
        <w:t xml:space="preserve"> = 0.245  - 0.408</w:t>
      </w:r>
    </w:p>
    <w:p>
      <w:pPr>
        <w:pStyle w:val="pStyle"/>
      </w:pPr>
      <w:r>
        <w:t xml:space="preserve">По этим данным можно также определить, какое влияние оказали показатели использования основных средств и их структура на изменение объема продукции.</w:t>
      </w:r>
    </w:p>
    <w:p>
      <w:pPr>
        <w:pStyle w:val="pStyle"/>
      </w:pPr>
      <w:r>
        <w:t xml:space="preserve">Из таблицы видно что общее изменение объема продукции составило -40000  руб.:</w:t>
      </w:r>
    </w:p>
    <w:p>
      <w:pPr>
        <w:pStyle w:val="pStyle"/>
      </w:pPr>
      <w:r>
        <w:t xml:space="preserve">0-17379.31 0 - Ф</w:t>
      </w:r>
      <w:r>
        <w:rPr>
          <w:vertAlign w:val="subscript"/>
        </w:rPr>
        <w:t>0</w:t>
      </w:r>
      <w:r>
        <w:t xml:space="preserve">) = 4090.909 ∙ 0.000607 ∙ -7000 = -17379.31</w:t>
      </w:r>
    </w:p>
    <w:p>
      <w:pPr>
        <w:pStyle w:val="pStyle"/>
      </w:pPr>
      <w:r>
        <w:t xml:space="preserve">0повышения на 9.848% доли активной части в стоимости основного капитала способствовало увеличению объема продукции на 33742.947 0 - 0 = 4090.909 ∙ 6.0E-5 ∙ 138000 = 33742.947</w:t>
      </w:r>
    </w:p>
    <w:p>
      <w:pPr>
        <w:pStyle w:val="pStyle"/>
      </w:pPr>
      <w:r>
        <w:t xml:space="preserve">0 что фондоотдача активной части снизилась на -14.976% это привело к снижению объема продукции на -56363.636  руб.: (ФО</w:t>
      </w:r>
      <w:r>
        <w:rPr>
          <w:vertAlign w:val="subscript"/>
        </w:rPr>
        <w:t>1</w:t>
      </w:r>
      <w:r>
        <w:t xml:space="preserve"> - 0 = -612.648 ∙ 0.000667 ∙ 138000 = -56363.636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pPr>
        <w:pStyle w:val="pStyle"/>
      </w:pPr>
      <w:r>
        <w:t xml:space="preserve">Источник:</w:t>
      </w:r>
    </w:p>
    <w:p>
      <w:hyperlink r:id="rId8" w:history="1">
        <w:r>
          <w:rPr>
            <w:color w:val="0000FF"/>
            <w:u w:val="single"/>
          </w:rPr>
          <w:t xml:space="preserve">Фондоотдача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9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0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1" w:history="1">
        <w:r>
          <w:rPr>
            <w:color w:val="0000FF"/>
            <w:u w:val="single"/>
          </w:rPr>
          <w:t xml:space="preserve">Маржинальный анализ</w:t>
        </w:r>
      </w:hyperlink>
    </w:p>
    <w:p>
      <w:hyperlink r:id="rId12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13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Анализ финансового состояния</w:t>
        </w:r>
      </w:hyperlink>
    </w:p>
    <w:p>
      <w:hyperlink r:id="rId15" w:history="1">
        <w:r>
          <w:rPr>
            <w:color w:val="0000FF"/>
            <w:u w:val="single"/>
          </w:rPr>
          <w:t xml:space="preserve">Анализ оборотных средств</w:t>
        </w:r>
      </w:hyperlink>
    </w:p>
    <w:p>
      <w:hyperlink r:id="rId16" w:history="1">
        <w:r>
          <w:rPr>
            <w:color w:val="0000FF"/>
            <w:u w:val="single"/>
          </w:rPr>
          <w:t xml:space="preserve">Анализ финансовой устойчивости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tex/productivity.php" TargetMode="External"/>
  <Relationship Id="rId8" Type="http://schemas.openxmlformats.org/officeDocument/2006/relationships/hyperlink" Target="https://www.semestr.ru/enterprise/ks146.php" TargetMode="External"/>
  <Relationship Id="rId9" Type="http://schemas.openxmlformats.org/officeDocument/2006/relationships/hyperlink" Target="https://axd.semestr.ru/afin/leverage.php" TargetMode="External"/>
  <Relationship Id="rId10" Type="http://schemas.openxmlformats.org/officeDocument/2006/relationships/hyperlink" Target="https://axd.semestr.ru/apt/axd_pt.php" TargetMode="External"/>
  <Relationship Id="rId11" Type="http://schemas.openxmlformats.org/officeDocument/2006/relationships/hyperlink" Target="https://axd.semestr.ru/afin/marginal.php" TargetMode="External"/>
  <Relationship Id="rId12" Type="http://schemas.openxmlformats.org/officeDocument/2006/relationships/hyperlink" Target="https://axd.semestr.ru/afin/profit.php" TargetMode="External"/>
  <Relationship Id="rId13" Type="http://schemas.openxmlformats.org/officeDocument/2006/relationships/hyperlink" Target="https://axd.semestr.ru/afin/axd_lev.php" TargetMode="External"/>
  <Relationship Id="rId14" Type="http://schemas.openxmlformats.org/officeDocument/2006/relationships/hyperlink" Target="https://axd.semestr.ru/afin/axd_finans.php" TargetMode="External"/>
  <Relationship Id="rId15" Type="http://schemas.openxmlformats.org/officeDocument/2006/relationships/hyperlink" Target="https://axd.semestr.ru/afin/axd_oborot.php" TargetMode="External"/>
  <Relationship Id="rId16" Type="http://schemas.openxmlformats.org/officeDocument/2006/relationships/hyperlink" Target="https://axd.semestr.ru/afin/axd_us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2024-09-18T08:40:00+03:00</dcterms:created>
  <dcterms:modified xsi:type="dcterms:W3CDTF">2024-09-18T08:40:00+03:00</dcterms:modified>
  <dc:title>Факторный анализ фондоотдачи</dc:title>
  <dc:description>https://axd.semestr.ru/atex/productivity.php</dc:description>
  <dc:subject>Факторный анализ фондоотдачи</dc:subject>
  <cp:keywords>Среднегодовая стоимость ОПФ,активная часть ОПФ,коэффициент использования среднегодовой производственной мощности,фондоотдача,анализ фондоотдачи</cp:keywords>
  <cp:category>Факторный анализ фондоотдачи</cp:category>
</cp:coreProperties>
</file>