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Факторная модель: О = Пг∙Пр</w:t>
      </w:r>
    </w:p>
    <w:p>
      <w:pPr>
        <w:pStyle w:val="pStyle"/>
      </w:pPr>
      <w:r>
        <w:t xml:space="preserve">Проанализируем влияние факторов на Объем производства молока</w:t>
      </w:r>
    </w:p>
    <w:p>
      <w:pPr>
        <w:pStyle w:val="pStyle"/>
      </w:pPr>
      <w:r>
        <w:t xml:space="preserve">1. за счет влияния Поголовье коров. млн. голов:</w:t>
      </w:r>
    </w:p>
    <w:p>
      <w:pPr>
        <w:pStyle w:val="pStyle"/>
      </w:pPr>
      <w:r>
        <w:t xml:space="preserve">ΔО</w:t>
      </w:r>
      <w:r>
        <w:rPr>
          <w:vertAlign w:val="subscript"/>
        </w:rPr>
        <w:t>Пг</w:t>
      </w:r>
      <w:r>
        <w:t xml:space="preserve"> = ΔПг∙Пр</w:t>
      </w:r>
      <w:r>
        <w:rPr>
          <w:vertAlign w:val="subscript"/>
        </w:rPr>
        <w:t>0</w:t>
      </w:r>
      <w:r>
        <w:t xml:space="preserve"> = (-0.41)∙4642 = -1903.22 руб.</w:t>
      </w:r>
    </w:p>
    <w:p>
      <w:pPr>
        <w:pStyle w:val="pStyle"/>
      </w:pPr>
      <w:r>
        <w:t xml:space="preserve">2. за счет влияния Продуктивность коров. кг:</w:t>
      </w:r>
    </w:p>
    <w:p>
      <w:pPr>
        <w:pStyle w:val="pStyle"/>
      </w:pPr>
      <w:r>
        <w:t xml:space="preserve">ΔО</w:t>
      </w:r>
      <w:r>
        <w:rPr>
          <w:vertAlign w:val="subscript"/>
        </w:rPr>
        <w:t>Пр</w:t>
      </w:r>
      <w:r>
        <w:t xml:space="preserve"> = Пг</w:t>
      </w:r>
      <w:r>
        <w:rPr>
          <w:vertAlign w:val="subscript"/>
        </w:rPr>
        <w:t>1</w:t>
      </w:r>
      <w:r>
        <w:t xml:space="preserve">∙ΔПр = 7.55∙680 = 5134 руб.</w:t>
      </w:r>
    </w:p>
    <w:p>
      <w:pPr>
        <w:pStyle w:val="pStyle"/>
      </w:pPr>
      <w:r>
        <w:t xml:space="preserve">Таким образом, за счет влияния всех факторов Объем производства молока увеличилась  на 3230.78 руб.</w:t>
      </w:r>
    </w:p>
    <w:p>
      <w:pPr>
        <w:pStyle w:val="pStyle"/>
      </w:pPr>
      <w:r>
        <w:t xml:space="preserve">ΔО = -1903.22 + 5134 = 3230.78 руб.</w:t>
      </w:r>
    </w:p>
    <w:tbl>
      <w:tblPr>
        <w:tblStyle w:val="myOwnTableStyle"/>
        <w:jc w:val="center"/>
      </w:tblPr>
      <w:tr>
        <w:tc>
          <w:tcPr>
            <w:tcW w:w="5000" w:type="dxa"/>
          </w:tcPr>
          <w:p>
            <w:r>
              <w:t xml:space="preserve">Факторы</w:t>
            </w:r>
          </w:p>
        </w:tc>
        <w:tc>
          <w:tcPr>
            <w:tcW w:w="1200" w:type="dxa"/>
          </w:tcPr>
          <w:p>
            <w:r>
              <w:t xml:space="preserve">План</w:t>
            </w:r>
          </w:p>
        </w:tc>
        <w:tc>
          <w:tcPr>
            <w:tcW w:w="1200" w:type="dxa"/>
          </w:tcPr>
          <w:p>
            <w:r>
              <w:t xml:space="preserve">Факт</w:t>
            </w:r>
          </w:p>
        </w:tc>
        <w:tc>
          <w:tcPr>
            <w:tcW w:w="1200" w:type="dxa"/>
          </w:tcPr>
          <w:p>
            <w:r>
              <w:t xml:space="preserve">Изменения, Δ</w:t>
            </w:r>
          </w:p>
        </w:tc>
      </w:tr>
      <w:tr>
        <w:tc>
          <w:tcPr>
            <w:tcW w:w="5000" w:type="dxa"/>
          </w:tcPr>
          <w:p>
            <w:r>
              <w:t xml:space="preserve">Поголовье коров. млн. голов, Пг</w:t>
            </w:r>
          </w:p>
        </w:tc>
        <w:tc>
          <w:tcPr>
            <w:tcW w:w="1200" w:type="dxa"/>
          </w:tcPr>
          <w:p>
            <w:r>
              <w:t xml:space="preserve">7.96</w:t>
            </w:r>
          </w:p>
        </w:tc>
        <w:tc>
          <w:tcPr>
            <w:tcW w:w="1200" w:type="dxa"/>
          </w:tcPr>
          <w:p>
            <w:r>
              <w:t xml:space="preserve">7.55</w:t>
            </w:r>
          </w:p>
        </w:tc>
        <w:tc>
          <w:tcPr>
            <w:tcW w:w="1200" w:type="dxa"/>
          </w:tcPr>
          <w:p>
            <w:r>
              <w:t xml:space="preserve">-0.41</w:t>
            </w:r>
          </w:p>
        </w:tc>
      </w:tr>
      <w:tr>
        <w:tc>
          <w:tcPr>
            <w:tcW w:w="5000" w:type="dxa"/>
          </w:tcPr>
          <w:p>
            <w:r>
              <w:t xml:space="preserve">Продуктивность коров. кг, Пр</w:t>
            </w:r>
          </w:p>
        </w:tc>
        <w:tc>
          <w:tcPr>
            <w:tcW w:w="1200" w:type="dxa"/>
          </w:tcPr>
          <w:p>
            <w:r>
              <w:t xml:space="preserve">4642</w:t>
            </w:r>
          </w:p>
        </w:tc>
        <w:tc>
          <w:tcPr>
            <w:tcW w:w="1200" w:type="dxa"/>
          </w:tcPr>
          <w:p>
            <w:r>
              <w:t xml:space="preserve">5322</w:t>
            </w:r>
          </w:p>
        </w:tc>
        <w:tc>
          <w:tcPr>
            <w:tcW w:w="1200" w:type="dxa"/>
          </w:tcPr>
          <w:p>
            <w:r>
              <w:t xml:space="preserve">680</w:t>
            </w:r>
          </w:p>
        </w:tc>
      </w:tr>
      <w:tr>
        <w:tc>
          <w:tcPr>
            <w:tcW w:w="5000" w:type="dxa"/>
          </w:tcPr>
          <w:p>
            <w:r>
              <w:t xml:space="preserve">Объем производства молока, О</w:t>
            </w:r>
          </w:p>
        </w:tc>
        <w:tc>
          <w:tcPr>
            <w:tcW w:w="1200" w:type="dxa"/>
          </w:tcPr>
          <w:p>
            <w:r>
              <w:t xml:space="preserve">36950.32</w:t>
            </w:r>
          </w:p>
        </w:tc>
        <w:tc>
          <w:tcPr>
            <w:tcW w:w="1200" w:type="dxa"/>
          </w:tcPr>
          <w:p>
            <w:r>
              <w:t xml:space="preserve">40181.1</w:t>
            </w:r>
          </w:p>
        </w:tc>
        <w:tc>
          <w:tcPr>
            <w:tcW w:w="1200" w:type="dxa"/>
          </w:tcPr>
          <w:p>
            <w:r>
              <w:t xml:space="preserve">3230.78</w:t>
            </w:r>
          </w:p>
        </w:tc>
      </w:tr>
    </w:tbl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абсолютных разниц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Онлайн калькулятор по статистике</w:t>
        </w:r>
      </w:hyperlink>
    </w:p>
    <w:p>
      <w:hyperlink r:id="rId9" w:history="1">
        <w:r>
          <w:rPr>
            <w:color w:val="0000FF"/>
            <w:u w:val="single"/>
          </w:rPr>
          <w:t xml:space="preserve">Показатели рядов динамики (цепные, базисные, средние)</w:t>
        </w:r>
      </w:hyperlink>
    </w:p>
    <w:p>
      <w:hyperlink r:id="rId10" w:history="1">
        <w:r>
          <w:rPr>
            <w:color w:val="0000FF"/>
            <w:u w:val="single"/>
          </w:rPr>
          <w:t xml:space="preserve">Индекс цен переменного состава</w:t>
        </w:r>
      </w:hyperlink>
    </w:p>
    <w:p>
      <w:hyperlink r:id="rId11" w:history="1">
        <w:r>
          <w:rPr>
            <w:color w:val="0000FF"/>
            <w:u w:val="single"/>
          </w:rPr>
          <w:t xml:space="preserve">Выявление тренда методом аналитического выравнивания</w:t>
        </w:r>
      </w:hyperlink>
    </w:p>
    <w:p>
      <w:hyperlink r:id="rId12" w:history="1">
        <w:r>
          <w:rPr>
            <w:color w:val="0000FF"/>
            <w:u w:val="single"/>
          </w:rPr>
          <w:t xml:space="preserve">Показатели вариации: средняя взвешенная, дисперсия, среднеквадратическое отклонение, мода, медиана, размах вариации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index/absolute-differences.php" TargetMode="External"/>
  <Relationship Id="rId8" Type="http://schemas.openxmlformats.org/officeDocument/2006/relationships/hyperlink" Target="https://math.semestr.ru/group/group_manual.php" TargetMode="External"/>
  <Relationship Id="rId9" Type="http://schemas.openxmlformats.org/officeDocument/2006/relationships/hyperlink" Target="https://axd.semestr.ru/dinam/group.php" TargetMode="External"/>
  <Relationship Id="rId10" Type="http://schemas.openxmlformats.org/officeDocument/2006/relationships/hyperlink" Target="https://axd.semestr.ru/index/ind.php" TargetMode="External"/>
  <Relationship Id="rId11" Type="http://schemas.openxmlformats.org/officeDocument/2006/relationships/hyperlink" Target="https://math.semestr.ru/trend/analis.php" TargetMode="External"/>
  <Relationship Id="rId12" Type="http://schemas.openxmlformats.org/officeDocument/2006/relationships/hyperlink" Target="https://math.semestr.ru/group/variation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2024-09-04T16:29:00+03:00</dcterms:created>
  <dcterms:modified xsi:type="dcterms:W3CDTF">2024-09-04T16:29:00+03:00</dcterms:modified>
  <dc:title>Метод абсолютных разниц</dc:title>
  <dc:description>https://axd.semestr.ru/index/absolute-differences.php</dc:description>
  <dc:subject>Метод абсолютных разниц</dc:subject>
  <cp:keywords>Метод абсолютных разниц</cp:keywords>
  <cp:category>Метод абсолютных разниц</cp:category>
</cp:coreProperties>
</file>