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Анализ сезонных колебаний</w:t>
      </w:r>
      <w:r>
        <w:t xml:space="preserve">.</w:t>
      </w:r>
    </w:p>
    <w:p>
      <w:pPr>
        <w:pStyle w:val="pStyle"/>
      </w:pPr>
      <w:r>
        <w:t xml:space="preserve">Если в анализируемой временной последовательности наблюдаются устойчивые отклонения от тенденции (в большую или в меньшую сторону), то можно предположить наличие в ряду динамики некоторых (одного или нескольких) колебательных процессов.</w:t>
      </w:r>
    </w:p>
    <w:p>
      <w:pPr>
        <w:pStyle w:val="pStyle"/>
      </w:pPr>
      <w:r>
        <w:t xml:space="preserve">Это особенно заметно, когда изучаемые явления имеют сезонный характер, — возрастание или убывание уровней повторяется регулярно с интервалом один год (например, производство молока и мяса по месяцам года, потребление топлива и электроэнергии для бытовых нужд, сезонная продажа товаров и т.д.).</w:t>
      </w:r>
    </w:p>
    <w:p>
      <w:pPr>
        <w:pStyle w:val="pStyle"/>
      </w:pPr>
      <w:r>
        <w:t xml:space="preserve">Задачи, которые необходимо решить в ходе исследования сезонности:</w:t>
      </w:r>
    </w:p>
    <w:p>
      <w:pPr>
        <w:pStyle w:val="pStyle"/>
      </w:pPr>
      <w:r>
        <w:t xml:space="preserve">1) выявить наличие сезонности;</w:t>
      </w:r>
    </w:p>
    <w:p>
      <w:pPr>
        <w:pStyle w:val="pStyle"/>
      </w:pPr>
      <w:r>
        <w:t xml:space="preserve">2) численно выразить сезонные колебания;</w:t>
      </w:r>
    </w:p>
    <w:p>
      <w:pPr>
        <w:pStyle w:val="pStyle"/>
      </w:pPr>
      <w:r>
        <w:t xml:space="preserve">3) выделить факторы, вызывающие сезонные колебания;</w:t>
      </w:r>
    </w:p>
    <w:p>
      <w:pPr>
        <w:pStyle w:val="pStyle"/>
      </w:pPr>
      <w:r>
        <w:t xml:space="preserve">4) оценить последствия сезонных колебаний;</w:t>
      </w:r>
    </w:p>
    <w:p>
      <w:pPr>
        <w:pStyle w:val="pStyle"/>
      </w:pPr>
      <w:r>
        <w:t xml:space="preserve">5) провести математическое моделирование сезонности.</w:t>
      </w:r>
    </w:p>
    <w:p>
      <w:pPr>
        <w:pStyle w:val="pStyle"/>
      </w:pPr>
      <w:r>
        <w:t xml:space="preserve">Сезонность выявляется с помощью:</w:t>
      </w:r>
    </w:p>
    <w:p>
      <w:pPr>
        <w:pStyle w:val="pStyle"/>
      </w:pPr>
      <w:r>
        <w:t xml:space="preserve">1) метода абсолютных разностей;</w:t>
      </w:r>
    </w:p>
    <w:p>
      <w:pPr>
        <w:pStyle w:val="pStyle"/>
      </w:pPr>
      <w:r>
        <w:t xml:space="preserve">2) метода относительных разностей;</w:t>
      </w:r>
    </w:p>
    <w:p>
      <w:pPr>
        <w:pStyle w:val="pStyle"/>
      </w:pPr>
      <w:r>
        <w:t xml:space="preserve">3) индексного метода.</w:t>
      </w:r>
    </w:p>
    <w:p>
      <w:pPr>
        <w:pStyle w:val="pStyle"/>
      </w:pPr>
      <w:r>
        <w:t xml:space="preserve">Метод абсолютных разностей заключается в расчете месячных средних и общей средней и последующем их сравнении: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c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sSub>
                <m:e>
                  <m:r>
                    <m:t>y</m:t>
                  </m:r>
                </m:e>
                <m:sub>
                  <m:r>
                    <m:t>t</m:t>
                  </m:r>
                </m:sub>
              </m:sSub>
            </m:e>
          </m:acc>
          <m:r>
            <m:t> - </m:t>
          </m:r>
          <m:acc>
            <m:accPr>
              <m:chr m:val="̅"/>
            </m:accPr>
            <m:e>
              <m:sSub>
                <m:e>
                  <m:r>
                    <m:t>y</m:t>
                  </m:r>
                </m:e>
                <m:sub>
                  <m:r>
                    <m:t>c</m:t>
                  </m:r>
                </m:sub>
              </m:sSub>
            </m:e>
          </m:acc>
        </m:oMath>
      </m:oMathPara>
    </w:p>
    <w:p>
      <w:pPr>
        <w:pStyle w:val="pStyle"/>
      </w:pPr>
      <w:r>
        <w:t xml:space="preserve">где y</w:t>
      </w:r>
      <w:r>
        <w:rPr>
          <w:vertAlign w:val="subscript"/>
        </w:rPr>
        <w:t>t</w:t>
      </w:r>
      <w:r>
        <w:t xml:space="preserve"> — средний уровень показателя за три и более года,</w:t>
      </w:r>
    </w:p>
    <w:p>
      <w:pPr>
        <w:pStyle w:val="pStyle"/>
      </w:pPr>
      <w:r>
        <w:t xml:space="preserve">y</w:t>
      </w:r>
      <w:r>
        <w:rPr>
          <w:vertAlign w:val="subscript"/>
        </w:rPr>
        <w:t>c</w:t>
      </w:r>
      <w:r>
        <w:t xml:space="preserve"> — средний уровень за все годы значение показателя.</w:t>
      </w:r>
    </w:p>
    <w:p>
      <w:pPr>
        <w:pStyle w:val="pStyle"/>
      </w:pPr>
      <w:r>
        <w:t xml:space="preserve">Если сезонность оценивается по данным за три года (тридцать шесть месяцев), то</w:t>
      </w:r>
    </w:p>
    <w:p>
      <m:oMathPara>
        <m:oMath>
          <m:acc>
            <m:accPr>
              <m:chr m:val="̅"/>
            </m:accPr>
            <m:e>
              <m:sSub>
                <m:e>
                  <m:r>
                    <m:t>y</m:t>
                  </m:r>
                </m:e>
                <m:sub>
                  <m:r>
                    <m:t>c</m:t>
                  </m:r>
                </m:sub>
              </m:sSub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36</m:t>
              </m:r>
            </m:den>
          </m:f>
        </m:oMath>
      </m:oMathPara>
    </w:p>
    <w:p>
      <w:pPr>
        <w:pStyle w:val="pStyle"/>
      </w:pPr>
      <w:r>
        <w:t xml:space="preserve">где y</w:t>
      </w:r>
      <w:r>
        <w:rPr>
          <w:vertAlign w:val="subscript"/>
        </w:rPr>
        <w:t>i</w:t>
      </w:r>
      <w:r>
        <w:t xml:space="preserve"> — значение уровня динамического ряда.</w:t>
      </w:r>
    </w:p>
    <w:p>
      <w:pPr>
        <w:pStyle w:val="pStyle"/>
      </w:pPr>
      <w:r>
        <w:t xml:space="preserve">Величина и знак значений абсолютных отклонений определяют наличие сезонности.</w:t>
      </w:r>
    </w:p>
    <w:p>
      <w:pPr>
        <w:pStyle w:val="pStyle"/>
      </w:pPr>
      <w:r>
        <w:t xml:space="preserve">Метод относительных разностей является продолжением метода абсолютных разностей. В качестве показателя, характеризующего сезонную неравномерность, используется показатель относительного отклонения:</w:t>
      </w:r>
    </w:p>
    <w:p>
      <m:oMathPara>
        <m:oMath>
          <m:r>
            <m:t>Δ</m:t>
          </m:r>
          <m:sSub>
            <m:e>
              <m:r>
                <m:t/>
              </m:r>
            </m:e>
            <m:sub>
              <m:r>
                <m:t>отн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acc>
              <m:r>
                <m:t> - </m:t>
              </m:r>
              <m:acc>
                <m:accPr>
                  <m:chr m:val="̅"/>
                </m:acc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c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</m:acc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c</m:t>
                      </m:r>
                    </m:sub>
                  </m:sSub>
                </m:e>
              </m:acc>
            </m:den>
          </m:f>
        </m:oMath>
      </m:oMathPara>
    </w:p>
    <w:p>
      <w:pPr>
        <w:pStyle w:val="pStyle"/>
      </w:pPr>
      <w:r>
        <w:t xml:space="preserve">По величине и знакам значений относительных отклонений можно судить о величине и силе влияния сезонного фактора.</w:t>
      </w:r>
    </w:p>
    <w:p>
      <w:pPr>
        <w:pStyle w:val="pStyle"/>
      </w:pPr>
      <w:r>
        <w:rPr>
          <w:i/>
          <w:iCs/>
        </w:rPr>
        <w:t>Индекс сезонности</w:t>
      </w:r>
      <w:r>
        <w:t xml:space="preserve"> рассчитывается:</w:t>
      </w:r>
    </w:p>
    <w:p>
      <m:oMathPara>
        <m:oMath>
          <m:sSub>
            <m:e>
              <m:r>
                <m:t>I</m:t>
              </m:r>
            </m:e>
            <m:sub>
              <m:r>
                <m:t>c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t</m:t>
                      </m:r>
                    </m:sub>
                  </m:sSub>
                </m:e>
              </m:acc>
            </m:num>
            <m:den>
              <m:acc>
                <m:accPr>
                  <m:chr m:val="̅"/>
                </m:accPr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c</m:t>
                      </m:r>
                    </m:sub>
                  </m:sSub>
                </m:e>
              </m:acc>
            </m:den>
          </m:f>
        </m:oMath>
      </m:oMathPara>
    </w:p>
    <w:p>
      <w:pPr>
        <w:pStyle w:val="pStyle"/>
      </w:pPr>
      <w:r>
        <w:t xml:space="preserve">где y</w:t>
      </w:r>
      <w:r>
        <w:rPr>
          <w:vertAlign w:val="subscript"/>
        </w:rPr>
        <w:t>t</w:t>
      </w:r>
      <w:r>
        <w:t xml:space="preserve"> — средний уровень показателя за три и более года,</w:t>
      </w:r>
    </w:p>
    <w:p>
      <w:pPr>
        <w:pStyle w:val="pStyle"/>
      </w:pPr>
      <w:r>
        <w:t xml:space="preserve">y</w:t>
      </w:r>
      <w:r>
        <w:rPr>
          <w:vertAlign w:val="subscript"/>
        </w:rPr>
        <w:t>c</w:t>
      </w:r>
      <w:r>
        <w:t xml:space="preserve"> — средний уровень за все годы значение показателя.</w:t>
      </w:r>
    </w:p>
    <w:p>
      <w:pPr>
        <w:pStyle w:val="pStyle"/>
      </w:pPr>
      <w:r>
        <w:t xml:space="preserve">Расчет индекса сезонности по данной формуле не учитывает наличие тренда.</w:t>
      </w:r>
    </w:p>
    <w:p>
      <w:pPr>
        <w:pStyle w:val="pStyle"/>
      </w:pPr>
      <w:r>
        <w:t xml:space="preserve">Рассчитанные значения индекса сезонности сравниваются со значением 100 %. Если индекс сезонности превышает 100 % — это свидетельствует о влиянии сезонного фактора в сторону увеличения уровней динамического ряда.</w:t>
      </w:r>
    </w:p>
    <w:p>
      <w:pPr>
        <w:pStyle w:val="pStyle"/>
      </w:pPr>
      <w:r>
        <w:t xml:space="preserve">Если индекс сезонности меньше 100 % — то сезонный фактор вызывает снижение уровней динамического ряда.</w:t>
      </w:r>
    </w:p>
    <w:p>
      <w:pPr>
        <w:pStyle w:val="pStyle"/>
      </w:pPr>
      <w:r>
        <w:t xml:space="preserve">Определим наличие сезонных колебаний для динамического ряда </w:t>
      </w:r>
      <w:r>
        <w:rPr>
          <w:i/>
          <w:iCs/>
        </w:rPr>
        <w:t>методом постоянной средней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Период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m:oMathPara>
              <m:oMath>
                <m:acc>
                  <m:accPr>
                    <m:chr m:val="̅"/>
                  </m:acc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t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200" w:type="dxa"/>
          </w:tcPr>
          <w:p>
            <w:r>
              <w:t xml:space="preserve">∆</w:t>
            </w:r>
            <w:r>
              <w:rPr>
                <w:vertAlign w:val="subscript"/>
              </w:rPr>
              <w:t>сез</w:t>
            </w:r>
          </w:p>
        </w:tc>
        <w:tc>
          <w:tcPr>
            <w:tcW w:w="1200" w:type="dxa"/>
          </w:tcPr>
          <w:p>
            <w:r>
              <w:t xml:space="preserve">∆</w:t>
            </w:r>
            <w:r>
              <w:rPr>
                <w:vertAlign w:val="subscript"/>
              </w:rPr>
              <w:t>отн</w:t>
            </w:r>
            <w:r>
              <w:t xml:space="preserve">,%</w:t>
            </w:r>
          </w:p>
        </w:tc>
        <w:tc>
          <w:tcPr>
            <w:tcW w:w="1200" w:type="dxa"/>
          </w:tcPr>
          <w:p>
            <w:r>
              <w:t xml:space="preserve">I</w:t>
            </w:r>
            <w:r>
              <w:rPr>
                <w:vertAlign w:val="subscript"/>
              </w:rPr>
              <w:t>сез</w:t>
            </w:r>
            <w:r>
              <w:t xml:space="preserve">, %</w:t>
            </w:r>
          </w:p>
        </w:tc>
      </w:tr>
      <w:tr>
        <w:tc>
          <w:tcPr>
            <w:tcW w:w="1200" w:type="dxa"/>
          </w:tcPr>
          <w:p>
            <w:r>
              <w:t xml:space="preserve">Январь</w:t>
            </w:r>
          </w:p>
        </w:tc>
        <w:tc>
          <w:tcPr>
            <w:tcW w:w="1200" w:type="dxa"/>
          </w:tcPr>
          <w:p>
            <w:r>
              <w:t xml:space="preserve">2390</w:t>
            </w:r>
          </w:p>
        </w:tc>
        <w:tc>
          <w:tcPr>
            <w:tcW w:w="1200" w:type="dxa"/>
          </w:tcPr>
          <w:p>
            <w:r>
              <w:t xml:space="preserve">5562</w:t>
            </w:r>
          </w:p>
        </w:tc>
        <w:tc>
          <w:tcPr>
            <w:tcW w:w="1200" w:type="dxa"/>
          </w:tcPr>
          <w:p>
            <w:r>
              <w:t xml:space="preserve">6500</w:t>
            </w:r>
          </w:p>
        </w:tc>
        <w:tc>
          <w:tcPr>
            <w:tcW w:w="1200" w:type="dxa"/>
          </w:tcPr>
          <w:p>
            <w:r>
              <w:t xml:space="preserve">4817.33</w:t>
            </w:r>
          </w:p>
        </w:tc>
        <w:tc>
          <w:tcPr>
            <w:tcW w:w="1200" w:type="dxa"/>
          </w:tcPr>
          <w:p>
            <w:r>
              <w:t xml:space="preserve">-721.75</w:t>
            </w:r>
          </w:p>
        </w:tc>
        <w:tc>
          <w:tcPr>
            <w:tcW w:w="1200" w:type="dxa"/>
          </w:tcPr>
          <w:p>
            <w:r>
              <w:t xml:space="preserve">-13.03</w:t>
            </w:r>
          </w:p>
        </w:tc>
        <w:tc>
          <w:tcPr>
            <w:tcW w:w="1200" w:type="dxa"/>
          </w:tcPr>
          <w:p>
            <w:r>
              <w:t xml:space="preserve">86.97</w:t>
            </w:r>
          </w:p>
        </w:tc>
      </w:tr>
      <w:tr>
        <w:tc>
          <w:tcPr>
            <w:tcW w:w="1200" w:type="dxa"/>
          </w:tcPr>
          <w:p>
            <w:r>
              <w:t xml:space="preserve">Февраль</w:t>
            </w:r>
          </w:p>
        </w:tc>
        <w:tc>
          <w:tcPr>
            <w:tcW w:w="1200" w:type="dxa"/>
          </w:tcPr>
          <w:p>
            <w:r>
              <w:t xml:space="preserve">2620</w:t>
            </w:r>
          </w:p>
        </w:tc>
        <w:tc>
          <w:tcPr>
            <w:tcW w:w="1200" w:type="dxa"/>
          </w:tcPr>
          <w:p>
            <w:r>
              <w:t xml:space="preserve">5580</w:t>
            </w:r>
          </w:p>
        </w:tc>
        <w:tc>
          <w:tcPr>
            <w:tcW w:w="1200" w:type="dxa"/>
          </w:tcPr>
          <w:p>
            <w:r>
              <w:t xml:space="preserve">6650</w:t>
            </w:r>
          </w:p>
        </w:tc>
        <w:tc>
          <w:tcPr>
            <w:tcW w:w="1200" w:type="dxa"/>
          </w:tcPr>
          <w:p>
            <w:r>
              <w:t xml:space="preserve">4950</w:t>
            </w:r>
          </w:p>
        </w:tc>
        <w:tc>
          <w:tcPr>
            <w:tcW w:w="1200" w:type="dxa"/>
          </w:tcPr>
          <w:p>
            <w:r>
              <w:t xml:space="preserve">-589.08</w:t>
            </w:r>
          </w:p>
        </w:tc>
        <w:tc>
          <w:tcPr>
            <w:tcW w:w="1200" w:type="dxa"/>
          </w:tcPr>
          <w:p>
            <w:r>
              <w:t xml:space="preserve">-10.64</w:t>
            </w:r>
          </w:p>
        </w:tc>
        <w:tc>
          <w:tcPr>
            <w:tcW w:w="1200" w:type="dxa"/>
          </w:tcPr>
          <w:p>
            <w:r>
              <w:t xml:space="preserve">89.36</w:t>
            </w:r>
          </w:p>
        </w:tc>
      </w:tr>
      <w:tr>
        <w:tc>
          <w:tcPr>
            <w:tcW w:w="1200" w:type="dxa"/>
          </w:tcPr>
          <w:p>
            <w:r>
              <w:t xml:space="preserve">Март</w:t>
            </w:r>
          </w:p>
        </w:tc>
        <w:tc>
          <w:tcPr>
            <w:tcW w:w="1200" w:type="dxa"/>
          </w:tcPr>
          <w:p>
            <w:r>
              <w:t xml:space="preserve">3105</w:t>
            </w:r>
          </w:p>
        </w:tc>
        <w:tc>
          <w:tcPr>
            <w:tcW w:w="1200" w:type="dxa"/>
          </w:tcPr>
          <w:p>
            <w:r>
              <w:t xml:space="preserve">5600</w:t>
            </w:r>
          </w:p>
        </w:tc>
        <w:tc>
          <w:tcPr>
            <w:tcW w:w="1200" w:type="dxa"/>
          </w:tcPr>
          <w:p>
            <w:r>
              <w:t xml:space="preserve">6700</w:t>
            </w:r>
          </w:p>
        </w:tc>
        <w:tc>
          <w:tcPr>
            <w:tcW w:w="1200" w:type="dxa"/>
          </w:tcPr>
          <w:p>
            <w:r>
              <w:t xml:space="preserve">5135</w:t>
            </w:r>
          </w:p>
        </w:tc>
        <w:tc>
          <w:tcPr>
            <w:tcW w:w="1200" w:type="dxa"/>
          </w:tcPr>
          <w:p>
            <w:r>
              <w:t xml:space="preserve">-404.08</w:t>
            </w:r>
          </w:p>
        </w:tc>
        <w:tc>
          <w:tcPr>
            <w:tcW w:w="1200" w:type="dxa"/>
          </w:tcPr>
          <w:p>
            <w:r>
              <w:t xml:space="preserve">-7.3</w:t>
            </w:r>
          </w:p>
        </w:tc>
        <w:tc>
          <w:tcPr>
            <w:tcW w:w="1200" w:type="dxa"/>
          </w:tcPr>
          <w:p>
            <w:r>
              <w:t xml:space="preserve">92.7</w:t>
            </w:r>
          </w:p>
        </w:tc>
      </w:tr>
      <w:tr>
        <w:tc>
          <w:tcPr>
            <w:tcW w:w="1200" w:type="dxa"/>
          </w:tcPr>
          <w:p>
            <w:r>
              <w:t xml:space="preserve">Апрель</w:t>
            </w:r>
          </w:p>
        </w:tc>
        <w:tc>
          <w:tcPr>
            <w:tcW w:w="1200" w:type="dxa"/>
          </w:tcPr>
          <w:p>
            <w:r>
              <w:t xml:space="preserve">3280</w:t>
            </w:r>
          </w:p>
        </w:tc>
        <w:tc>
          <w:tcPr>
            <w:tcW w:w="1200" w:type="dxa"/>
          </w:tcPr>
          <w:p>
            <w:r>
              <w:t xml:space="preserve">5700</w:t>
            </w:r>
          </w:p>
        </w:tc>
        <w:tc>
          <w:tcPr>
            <w:tcW w:w="1200" w:type="dxa"/>
          </w:tcPr>
          <w:p>
            <w:r>
              <w:t xml:space="preserve">6770</w:t>
            </w:r>
          </w:p>
        </w:tc>
        <w:tc>
          <w:tcPr>
            <w:tcW w:w="1200" w:type="dxa"/>
          </w:tcPr>
          <w:p>
            <w:r>
              <w:t xml:space="preserve">5250</w:t>
            </w:r>
          </w:p>
        </w:tc>
        <w:tc>
          <w:tcPr>
            <w:tcW w:w="1200" w:type="dxa"/>
          </w:tcPr>
          <w:p>
            <w:r>
              <w:t xml:space="preserve">-289.08</w:t>
            </w:r>
          </w:p>
        </w:tc>
        <w:tc>
          <w:tcPr>
            <w:tcW w:w="1200" w:type="dxa"/>
          </w:tcPr>
          <w:p>
            <w:r>
              <w:t xml:space="preserve">-5.22</w:t>
            </w:r>
          </w:p>
        </w:tc>
        <w:tc>
          <w:tcPr>
            <w:tcW w:w="1200" w:type="dxa"/>
          </w:tcPr>
          <w:p>
            <w:r>
              <w:t xml:space="preserve">94.78</w:t>
            </w:r>
          </w:p>
        </w:tc>
      </w:tr>
      <w:tr>
        <w:tc>
          <w:tcPr>
            <w:tcW w:w="1200" w:type="dxa"/>
          </w:tcPr>
          <w:p>
            <w:r>
              <w:t xml:space="preserve">Май</w:t>
            </w:r>
          </w:p>
        </w:tc>
        <w:tc>
          <w:tcPr>
            <w:tcW w:w="1200" w:type="dxa"/>
          </w:tcPr>
          <w:p>
            <w:r>
              <w:t xml:space="preserve">3590</w:t>
            </w:r>
          </w:p>
        </w:tc>
        <w:tc>
          <w:tcPr>
            <w:tcW w:w="1200" w:type="dxa"/>
          </w:tcPr>
          <w:p>
            <w:r>
              <w:t xml:space="preserve">5730</w:t>
            </w:r>
          </w:p>
        </w:tc>
        <w:tc>
          <w:tcPr>
            <w:tcW w:w="1200" w:type="dxa"/>
          </w:tcPr>
          <w:p>
            <w:r>
              <w:t xml:space="preserve">6780</w:t>
            </w:r>
          </w:p>
        </w:tc>
        <w:tc>
          <w:tcPr>
            <w:tcW w:w="1200" w:type="dxa"/>
          </w:tcPr>
          <w:p>
            <w:r>
              <w:t xml:space="preserve">5366.67</w:t>
            </w:r>
          </w:p>
        </w:tc>
        <w:tc>
          <w:tcPr>
            <w:tcW w:w="1200" w:type="dxa"/>
          </w:tcPr>
          <w:p>
            <w:r>
              <w:t xml:space="preserve">-172.42</w:t>
            </w:r>
          </w:p>
        </w:tc>
        <w:tc>
          <w:tcPr>
            <w:tcW w:w="1200" w:type="dxa"/>
          </w:tcPr>
          <w:p>
            <w:r>
              <w:t xml:space="preserve">-3.11</w:t>
            </w:r>
          </w:p>
        </w:tc>
        <w:tc>
          <w:tcPr>
            <w:tcW w:w="1200" w:type="dxa"/>
          </w:tcPr>
          <w:p>
            <w:r>
              <w:t xml:space="preserve">96.89</w:t>
            </w:r>
          </w:p>
        </w:tc>
      </w:tr>
      <w:tr>
        <w:tc>
          <w:tcPr>
            <w:tcW w:w="1200" w:type="dxa"/>
          </w:tcPr>
          <w:p>
            <w:r>
              <w:t xml:space="preserve">Июнь</w:t>
            </w:r>
          </w:p>
        </w:tc>
        <w:tc>
          <w:tcPr>
            <w:tcW w:w="1200" w:type="dxa"/>
          </w:tcPr>
          <w:p>
            <w:r>
              <w:t xml:space="preserve">3630</w:t>
            </w:r>
          </w:p>
        </w:tc>
        <w:tc>
          <w:tcPr>
            <w:tcW w:w="1200" w:type="dxa"/>
          </w:tcPr>
          <w:p>
            <w:r>
              <w:t xml:space="preserve">5790</w:t>
            </w:r>
          </w:p>
        </w:tc>
        <w:tc>
          <w:tcPr>
            <w:tcW w:w="1200" w:type="dxa"/>
          </w:tcPr>
          <w:p>
            <w:r>
              <w:t xml:space="preserve">6600</w:t>
            </w:r>
          </w:p>
        </w:tc>
        <w:tc>
          <w:tcPr>
            <w:tcW w:w="1200" w:type="dxa"/>
          </w:tcPr>
          <w:p>
            <w:r>
              <w:t xml:space="preserve">5340</w:t>
            </w:r>
          </w:p>
        </w:tc>
        <w:tc>
          <w:tcPr>
            <w:tcW w:w="1200" w:type="dxa"/>
          </w:tcPr>
          <w:p>
            <w:r>
              <w:t xml:space="preserve">-199.08</w:t>
            </w:r>
          </w:p>
        </w:tc>
        <w:tc>
          <w:tcPr>
            <w:tcW w:w="1200" w:type="dxa"/>
          </w:tcPr>
          <w:p>
            <w:r>
              <w:t xml:space="preserve">-3.59</w:t>
            </w:r>
          </w:p>
        </w:tc>
        <w:tc>
          <w:tcPr>
            <w:tcW w:w="1200" w:type="dxa"/>
          </w:tcPr>
          <w:p>
            <w:r>
              <w:t xml:space="preserve">96.41</w:t>
            </w:r>
          </w:p>
        </w:tc>
      </w:tr>
      <w:tr>
        <w:tc>
          <w:tcPr>
            <w:tcW w:w="1200" w:type="dxa"/>
          </w:tcPr>
          <w:p>
            <w:r>
              <w:t xml:space="preserve">Июль</w:t>
            </w:r>
          </w:p>
        </w:tc>
        <w:tc>
          <w:tcPr>
            <w:tcW w:w="1200" w:type="dxa"/>
          </w:tcPr>
          <w:p>
            <w:r>
              <w:t xml:space="preserve">3620</w:t>
            </w:r>
          </w:p>
        </w:tc>
        <w:tc>
          <w:tcPr>
            <w:tcW w:w="1200" w:type="dxa"/>
          </w:tcPr>
          <w:p>
            <w:r>
              <w:t xml:space="preserve">5820</w:t>
            </w:r>
          </w:p>
        </w:tc>
        <w:tc>
          <w:tcPr>
            <w:tcW w:w="1200" w:type="dxa"/>
          </w:tcPr>
          <w:p>
            <w:r>
              <w:t xml:space="preserve">6650</w:t>
            </w:r>
          </w:p>
        </w:tc>
        <w:tc>
          <w:tcPr>
            <w:tcW w:w="1200" w:type="dxa"/>
          </w:tcPr>
          <w:p>
            <w:r>
              <w:t xml:space="preserve">5363.33</w:t>
            </w:r>
          </w:p>
        </w:tc>
        <w:tc>
          <w:tcPr>
            <w:tcW w:w="1200" w:type="dxa"/>
          </w:tcPr>
          <w:p>
            <w:r>
              <w:t xml:space="preserve">-175.75</w:t>
            </w:r>
          </w:p>
        </w:tc>
        <w:tc>
          <w:tcPr>
            <w:tcW w:w="1200" w:type="dxa"/>
          </w:tcPr>
          <w:p>
            <w:r>
              <w:t xml:space="preserve">-3.17</w:t>
            </w:r>
          </w:p>
        </w:tc>
        <w:tc>
          <w:tcPr>
            <w:tcW w:w="1200" w:type="dxa"/>
          </w:tcPr>
          <w:p>
            <w:r>
              <w:t xml:space="preserve">96.83</w:t>
            </w:r>
          </w:p>
        </w:tc>
      </w:tr>
      <w:tr>
        <w:tc>
          <w:tcPr>
            <w:tcW w:w="1200" w:type="dxa"/>
          </w:tcPr>
          <w:p>
            <w:r>
              <w:t xml:space="preserve">Август</w:t>
            </w:r>
          </w:p>
        </w:tc>
        <w:tc>
          <w:tcPr>
            <w:tcW w:w="1200" w:type="dxa"/>
          </w:tcPr>
          <w:p>
            <w:r>
              <w:t xml:space="preserve">3980</w:t>
            </w:r>
          </w:p>
        </w:tc>
        <w:tc>
          <w:tcPr>
            <w:tcW w:w="1200" w:type="dxa"/>
          </w:tcPr>
          <w:p>
            <w:r>
              <w:t xml:space="preserve">5900</w:t>
            </w:r>
          </w:p>
        </w:tc>
        <w:tc>
          <w:tcPr>
            <w:tcW w:w="1200" w:type="dxa"/>
          </w:tcPr>
          <w:p>
            <w:r>
              <w:t xml:space="preserve">6770</w:t>
            </w:r>
          </w:p>
        </w:tc>
        <w:tc>
          <w:tcPr>
            <w:tcW w:w="1200" w:type="dxa"/>
          </w:tcPr>
          <w:p>
            <w:r>
              <w:t xml:space="preserve">5550</w:t>
            </w:r>
          </w:p>
        </w:tc>
        <w:tc>
          <w:tcPr>
            <w:tcW w:w="1200" w:type="dxa"/>
          </w:tcPr>
          <w:p>
            <w:r>
              <w:t xml:space="preserve">10.92</w:t>
            </w:r>
          </w:p>
        </w:tc>
        <w:tc>
          <w:tcPr>
            <w:tcW w:w="1200" w:type="dxa"/>
          </w:tcPr>
          <w:p>
            <w:r>
              <w:t xml:space="preserve">0.2</w:t>
            </w:r>
          </w:p>
        </w:tc>
        <w:tc>
          <w:tcPr>
            <w:tcW w:w="1200" w:type="dxa"/>
          </w:tcPr>
          <w:p>
            <w:r>
              <w:t xml:space="preserve">100.2</w:t>
            </w:r>
          </w:p>
        </w:tc>
      </w:tr>
      <w:tr>
        <w:tc>
          <w:tcPr>
            <w:tcW w:w="1200" w:type="dxa"/>
          </w:tcPr>
          <w:p>
            <w:r>
              <w:t xml:space="preserve">Сентябрь</w:t>
            </w:r>
          </w:p>
        </w:tc>
        <w:tc>
          <w:tcPr>
            <w:tcW w:w="1200" w:type="dxa"/>
          </w:tcPr>
          <w:p>
            <w:r>
              <w:t xml:space="preserve">4410</w:t>
            </w:r>
          </w:p>
        </w:tc>
        <w:tc>
          <w:tcPr>
            <w:tcW w:w="1200" w:type="dxa"/>
          </w:tcPr>
          <w:p>
            <w:r>
              <w:t xml:space="preserve">5960</w:t>
            </w:r>
          </w:p>
        </w:tc>
        <w:tc>
          <w:tcPr>
            <w:tcW w:w="1200" w:type="dxa"/>
          </w:tcPr>
          <w:p>
            <w:r>
              <w:t xml:space="preserve">6850</w:t>
            </w:r>
          </w:p>
        </w:tc>
        <w:tc>
          <w:tcPr>
            <w:tcW w:w="1200" w:type="dxa"/>
          </w:tcPr>
          <w:p>
            <w:r>
              <w:t xml:space="preserve">5740</w:t>
            </w:r>
          </w:p>
        </w:tc>
        <w:tc>
          <w:tcPr>
            <w:tcW w:w="1200" w:type="dxa"/>
          </w:tcPr>
          <w:p>
            <w:r>
              <w:t xml:space="preserve">200.92</w:t>
            </w:r>
          </w:p>
        </w:tc>
        <w:tc>
          <w:tcPr>
            <w:tcW w:w="1200" w:type="dxa"/>
          </w:tcPr>
          <w:p>
            <w:r>
              <w:t xml:space="preserve">3.63</w:t>
            </w:r>
          </w:p>
        </w:tc>
        <w:tc>
          <w:tcPr>
            <w:tcW w:w="1200" w:type="dxa"/>
          </w:tcPr>
          <w:p>
            <w:r>
              <w:t xml:space="preserve">103.63</w:t>
            </w:r>
          </w:p>
        </w:tc>
      </w:tr>
      <w:tr>
        <w:tc>
          <w:tcPr>
            <w:tcW w:w="1200" w:type="dxa"/>
          </w:tcPr>
          <w:p>
            <w:r>
              <w:t xml:space="preserve">Октябрь</w:t>
            </w:r>
          </w:p>
        </w:tc>
        <w:tc>
          <w:tcPr>
            <w:tcW w:w="1200" w:type="dxa"/>
          </w:tcPr>
          <w:p>
            <w:r>
              <w:t xml:space="preserve">4880</w:t>
            </w:r>
          </w:p>
        </w:tc>
        <w:tc>
          <w:tcPr>
            <w:tcW w:w="1200" w:type="dxa"/>
          </w:tcPr>
          <w:p>
            <w:r>
              <w:t xml:space="preserve">6140</w:t>
            </w:r>
          </w:p>
        </w:tc>
        <w:tc>
          <w:tcPr>
            <w:tcW w:w="1200" w:type="dxa"/>
          </w:tcPr>
          <w:p>
            <w:r>
              <w:t xml:space="preserve">6940</w:t>
            </w:r>
          </w:p>
        </w:tc>
        <w:tc>
          <w:tcPr>
            <w:tcW w:w="1200" w:type="dxa"/>
          </w:tcPr>
          <w:p>
            <w:r>
              <w:t xml:space="preserve">5986.67</w:t>
            </w:r>
          </w:p>
        </w:tc>
        <w:tc>
          <w:tcPr>
            <w:tcW w:w="1200" w:type="dxa"/>
          </w:tcPr>
          <w:p>
            <w:r>
              <w:t xml:space="preserve">447.58</w:t>
            </w:r>
          </w:p>
        </w:tc>
        <w:tc>
          <w:tcPr>
            <w:tcW w:w="1200" w:type="dxa"/>
          </w:tcPr>
          <w:p>
            <w:r>
              <w:t xml:space="preserve">8.08</w:t>
            </w:r>
          </w:p>
        </w:tc>
        <w:tc>
          <w:tcPr>
            <w:tcW w:w="1200" w:type="dxa"/>
          </w:tcPr>
          <w:p>
            <w:r>
              <w:t xml:space="preserve">108.08</w:t>
            </w:r>
          </w:p>
        </w:tc>
      </w:tr>
      <w:tr>
        <w:tc>
          <w:tcPr>
            <w:tcW w:w="1200" w:type="dxa"/>
          </w:tcPr>
          <w:p>
            <w:r>
              <w:t xml:space="preserve">Ноябрь</w:t>
            </w:r>
          </w:p>
        </w:tc>
        <w:tc>
          <w:tcPr>
            <w:tcW w:w="1200" w:type="dxa"/>
          </w:tcPr>
          <w:p>
            <w:r>
              <w:t xml:space="preserve">5220</w:t>
            </w:r>
          </w:p>
        </w:tc>
        <w:tc>
          <w:tcPr>
            <w:tcW w:w="1200" w:type="dxa"/>
          </w:tcPr>
          <w:p>
            <w:r>
              <w:t xml:space="preserve">6220</w:t>
            </w:r>
          </w:p>
        </w:tc>
        <w:tc>
          <w:tcPr>
            <w:tcW w:w="1200" w:type="dxa"/>
          </w:tcPr>
          <w:p>
            <w:r>
              <w:t xml:space="preserve">7120</w:t>
            </w:r>
          </w:p>
        </w:tc>
        <w:tc>
          <w:tcPr>
            <w:tcW w:w="1200" w:type="dxa"/>
          </w:tcPr>
          <w:p>
            <w:r>
              <w:t xml:space="preserve">6186.67</w:t>
            </w:r>
          </w:p>
        </w:tc>
        <w:tc>
          <w:tcPr>
            <w:tcW w:w="1200" w:type="dxa"/>
          </w:tcPr>
          <w:p>
            <w:r>
              <w:t xml:space="preserve">647.58</w:t>
            </w:r>
          </w:p>
        </w:tc>
        <w:tc>
          <w:tcPr>
            <w:tcW w:w="1200" w:type="dxa"/>
          </w:tcPr>
          <w:p>
            <w:r>
              <w:t xml:space="preserve">11.69</w:t>
            </w:r>
          </w:p>
        </w:tc>
        <w:tc>
          <w:tcPr>
            <w:tcW w:w="1200" w:type="dxa"/>
          </w:tcPr>
          <w:p>
            <w:r>
              <w:t xml:space="preserve">111.69</w:t>
            </w:r>
          </w:p>
        </w:tc>
      </w:tr>
      <w:tr>
        <w:tc>
          <w:tcPr>
            <w:tcW w:w="1200" w:type="dxa"/>
          </w:tcPr>
          <w:p>
            <w:r>
              <w:t xml:space="preserve">Декабрь</w:t>
            </w:r>
          </w:p>
        </w:tc>
        <w:tc>
          <w:tcPr>
            <w:tcW w:w="1200" w:type="dxa"/>
          </w:tcPr>
          <w:p>
            <w:r>
              <w:t xml:space="preserve">6010</w:t>
            </w:r>
          </w:p>
        </w:tc>
        <w:tc>
          <w:tcPr>
            <w:tcW w:w="1200" w:type="dxa"/>
          </w:tcPr>
          <w:p>
            <w:r>
              <w:t xml:space="preserve">6690</w:t>
            </w:r>
          </w:p>
        </w:tc>
        <w:tc>
          <w:tcPr>
            <w:tcW w:w="1200" w:type="dxa"/>
          </w:tcPr>
          <w:p>
            <w:r>
              <w:t xml:space="preserve">7650</w:t>
            </w:r>
          </w:p>
        </w:tc>
        <w:tc>
          <w:tcPr>
            <w:tcW w:w="1200" w:type="dxa"/>
          </w:tcPr>
          <w:p>
            <w:r>
              <w:t xml:space="preserve">6783.33</w:t>
            </w:r>
          </w:p>
        </w:tc>
        <w:tc>
          <w:tcPr>
            <w:tcW w:w="1200" w:type="dxa"/>
          </w:tcPr>
          <w:p>
            <w:r>
              <w:t xml:space="preserve">1244.25</w:t>
            </w:r>
          </w:p>
        </w:tc>
        <w:tc>
          <w:tcPr>
            <w:tcW w:w="1200" w:type="dxa"/>
          </w:tcPr>
          <w:p>
            <w:r>
              <w:t xml:space="preserve">22.46</w:t>
            </w:r>
          </w:p>
        </w:tc>
        <w:tc>
          <w:tcPr>
            <w:tcW w:w="1200" w:type="dxa"/>
          </w:tcPr>
          <w:p>
            <w:r>
              <w:t xml:space="preserve">122.46</w:t>
            </w:r>
          </w:p>
        </w:tc>
      </w:tr>
      <w:tr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5539.08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</w:tr>
    </w:tbl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Анализ сезонности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Мультипликативная модель временного ряда</w:t>
        </w:r>
      </w:hyperlink>
    </w:p>
    <w:p>
      <w:hyperlink r:id="rId9" w:history="1">
        <w:r>
          <w:rPr>
            <w:color w:val="0000FF"/>
            <w:u w:val="single"/>
          </w:rPr>
          <w:t xml:space="preserve">Аддитивная модель временного ряда</w:t>
        </w:r>
      </w:hyperlink>
    </w:p>
    <w:p>
      <w:hyperlink r:id="rId10" w:history="1">
        <w:r>
          <w:rPr>
            <w:color w:val="0000FF"/>
            <w:u w:val="single"/>
          </w:rPr>
          <w:t xml:space="preserve">Показатели рядов динамики (цепные, базисные, средние)</w:t>
        </w:r>
      </w:hyperlink>
    </w:p>
    <w:p>
      <w:hyperlink r:id="rId11" w:history="1">
        <w:r>
          <w:rPr>
            <w:color w:val="0000FF"/>
            <w:u w:val="single"/>
          </w:rPr>
          <w:t xml:space="preserve">Индекс цен переменного состава</w:t>
        </w:r>
      </w:hyperlink>
    </w:p>
    <w:p>
      <w:hyperlink r:id="rId12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3" w:history="1">
        <w:r>
          <w:rPr>
            <w:color w:val="0000FF"/>
            <w:u w:val="single"/>
          </w:rPr>
          <w:t xml:space="preserve">Показатели вариации: средняя взвешенная, дисперсия, среднеквадратическое отклонение, мода, медиана, размах вариации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index/season.php" TargetMode="External"/>
  <Relationship Id="rId8" Type="http://schemas.openxmlformats.org/officeDocument/2006/relationships/hyperlink" Target="https://axd.semestr.ru/dinam/multiplicative.php" TargetMode="External"/>
  <Relationship Id="rId9" Type="http://schemas.openxmlformats.org/officeDocument/2006/relationships/hyperlink" Target="https://axd.semestr.ru/dinam/additive.php" TargetMode="External"/>
  <Relationship Id="rId10" Type="http://schemas.openxmlformats.org/officeDocument/2006/relationships/hyperlink" Target="https://axd.semestr.ru/dinam/group.php" TargetMode="External"/>
  <Relationship Id="rId11" Type="http://schemas.openxmlformats.org/officeDocument/2006/relationships/hyperlink" Target="https://axd.semestr.ru/index/ind.php" TargetMode="External"/>
  <Relationship Id="rId12" Type="http://schemas.openxmlformats.org/officeDocument/2006/relationships/hyperlink" Target="https://math.semestr.ru/trend/analis.php" TargetMode="External"/>
  <Relationship Id="rId13" Type="http://schemas.openxmlformats.org/officeDocument/2006/relationships/hyperlink" Target="https://math.semestr.ru/group/variations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2024-02-23T07:15:00+03:00</dcterms:created>
  <dcterms:modified xsi:type="dcterms:W3CDTF">2024-02-23T07:15:00+03:00</dcterms:modified>
  <dc:title>Анализ сезонности</dc:title>
  <dc:description>https://axd.semestr.ru/index/season.php</dc:description>
  <dc:subject>Анализ сезонности</dc:subject>
  <cp:keywords>Индекс сезонности</cp:keywords>
  <cp:category>Анализ сезонности</cp:category>
</cp:coreProperties>
</file>